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162" w:rsidRDefault="00C00C6D">
      <w:pPr>
        <w:spacing w:after="200"/>
        <w:jc w:val="center"/>
        <w:rPr>
          <w:rFonts w:ascii="Century Gothic" w:eastAsia="Century Gothic" w:hAnsi="Century Gothic" w:cs="Century Gothic"/>
        </w:rPr>
      </w:pPr>
      <w:bookmarkStart w:id="0" w:name="_GoBack"/>
      <w:bookmarkEnd w:id="0"/>
      <w:r>
        <w:rPr>
          <w:rFonts w:ascii="Century Gothic" w:eastAsia="Century Gothic" w:hAnsi="Century Gothic" w:cs="Century Gothic"/>
          <w:b/>
        </w:rPr>
        <w:t>INFORME DE PONENCIA PARA PRIMER DEBATE DEL PROYECTO DE LEY N</w:t>
      </w:r>
      <w:r w:rsidR="00CF17FA">
        <w:rPr>
          <w:rFonts w:ascii="Century Gothic" w:eastAsia="Century Gothic" w:hAnsi="Century Gothic" w:cs="Century Gothic"/>
          <w:b/>
        </w:rPr>
        <w:t>Ú</w:t>
      </w:r>
      <w:r>
        <w:rPr>
          <w:rFonts w:ascii="Century Gothic" w:eastAsia="Century Gothic" w:hAnsi="Century Gothic" w:cs="Century Gothic"/>
          <w:b/>
        </w:rPr>
        <w:t>MERO 004 DE 2019 CÁMARA</w:t>
      </w:r>
    </w:p>
    <w:p w:rsidR="00BE3162" w:rsidRDefault="00BE3162">
      <w:pPr>
        <w:spacing w:after="200"/>
        <w:rPr>
          <w:rFonts w:ascii="Century Gothic" w:eastAsia="Century Gothic" w:hAnsi="Century Gothic" w:cs="Century Gothic"/>
        </w:rPr>
      </w:pPr>
    </w:p>
    <w:p w:rsidR="00BE3162" w:rsidRDefault="00C00C6D">
      <w:pPr>
        <w:rPr>
          <w:rFonts w:ascii="Century Gothic" w:eastAsia="Century Gothic" w:hAnsi="Century Gothic" w:cs="Century Gothic"/>
        </w:rPr>
      </w:pPr>
      <w:bookmarkStart w:id="1" w:name="_heading=h.gjdgxs" w:colFirst="0" w:colLast="0"/>
      <w:bookmarkEnd w:id="1"/>
      <w:r>
        <w:rPr>
          <w:rFonts w:ascii="Century Gothic" w:eastAsia="Century Gothic" w:hAnsi="Century Gothic" w:cs="Century Gothic"/>
        </w:rPr>
        <w:t xml:space="preserve">Bogotá, D. C., </w:t>
      </w:r>
      <w:r w:rsidR="00CF17FA">
        <w:rPr>
          <w:rFonts w:ascii="Century Gothic" w:eastAsia="Century Gothic" w:hAnsi="Century Gothic" w:cs="Century Gothic"/>
        </w:rPr>
        <w:t xml:space="preserve">07 </w:t>
      </w:r>
      <w:r>
        <w:rPr>
          <w:rFonts w:ascii="Century Gothic" w:eastAsia="Century Gothic" w:hAnsi="Century Gothic" w:cs="Century Gothic"/>
        </w:rPr>
        <w:t>octubre de 2019</w:t>
      </w:r>
    </w:p>
    <w:p w:rsidR="00BE3162" w:rsidRDefault="00C00C6D">
      <w:pPr>
        <w:rPr>
          <w:rFonts w:ascii="Century Gothic" w:eastAsia="Century Gothic" w:hAnsi="Century Gothic" w:cs="Century Gothic"/>
        </w:rPr>
      </w:pPr>
      <w:r>
        <w:rPr>
          <w:rFonts w:ascii="Century Gothic" w:eastAsia="Century Gothic" w:hAnsi="Century Gothic" w:cs="Century Gothic"/>
        </w:rPr>
        <w:t>Presidente</w:t>
      </w:r>
    </w:p>
    <w:p w:rsidR="00BE3162" w:rsidRDefault="00C00C6D">
      <w:pPr>
        <w:rPr>
          <w:rFonts w:ascii="Century Gothic" w:eastAsia="Century Gothic" w:hAnsi="Century Gothic" w:cs="Century Gothic"/>
          <w:b/>
        </w:rPr>
      </w:pPr>
      <w:r>
        <w:rPr>
          <w:rFonts w:ascii="Century Gothic" w:eastAsia="Century Gothic" w:hAnsi="Century Gothic" w:cs="Century Gothic"/>
          <w:b/>
        </w:rPr>
        <w:t>JUAN CARLOS LOZADA VARGAS</w:t>
      </w:r>
    </w:p>
    <w:p w:rsidR="00BE3162" w:rsidRDefault="0022662B">
      <w:pPr>
        <w:rPr>
          <w:rFonts w:ascii="Century Gothic" w:eastAsia="Century Gothic" w:hAnsi="Century Gothic" w:cs="Century Gothic"/>
        </w:rPr>
      </w:pPr>
      <w:r>
        <w:rPr>
          <w:rFonts w:ascii="Century Gothic" w:eastAsia="Century Gothic" w:hAnsi="Century Gothic" w:cs="Century Gothic"/>
        </w:rPr>
        <w:t>Comisió</w:t>
      </w:r>
      <w:r w:rsidR="00C00C6D">
        <w:rPr>
          <w:rFonts w:ascii="Century Gothic" w:eastAsia="Century Gothic" w:hAnsi="Century Gothic" w:cs="Century Gothic"/>
        </w:rPr>
        <w:t xml:space="preserve">n Primera Constitucional Permanente </w:t>
      </w:r>
    </w:p>
    <w:p w:rsidR="00BE3162" w:rsidRDefault="00C00C6D">
      <w:pPr>
        <w:rPr>
          <w:rFonts w:ascii="Century Gothic" w:eastAsia="Century Gothic" w:hAnsi="Century Gothic" w:cs="Century Gothic"/>
        </w:rPr>
      </w:pPr>
      <w:r>
        <w:rPr>
          <w:rFonts w:ascii="Century Gothic" w:eastAsia="Century Gothic" w:hAnsi="Century Gothic" w:cs="Century Gothic"/>
        </w:rPr>
        <w:t>Cámara de Representantes</w:t>
      </w:r>
    </w:p>
    <w:p w:rsidR="00BE3162" w:rsidRDefault="00BE3162">
      <w:pPr>
        <w:spacing w:before="280" w:after="200"/>
        <w:jc w:val="both"/>
        <w:rPr>
          <w:rFonts w:ascii="Century Gothic" w:eastAsia="Century Gothic" w:hAnsi="Century Gothic" w:cs="Century Gothic"/>
          <w:b/>
        </w:rPr>
      </w:pPr>
    </w:p>
    <w:p w:rsidR="00BE3162" w:rsidRDefault="00C00C6D">
      <w:pPr>
        <w:spacing w:before="280" w:after="200"/>
        <w:ind w:left="2844" w:hanging="2124"/>
        <w:jc w:val="both"/>
        <w:rPr>
          <w:rFonts w:ascii="Century Gothic" w:eastAsia="Century Gothic" w:hAnsi="Century Gothic" w:cs="Century Gothic"/>
        </w:rPr>
      </w:pPr>
      <w:r>
        <w:rPr>
          <w:rFonts w:ascii="Century Gothic" w:eastAsia="Century Gothic" w:hAnsi="Century Gothic" w:cs="Century Gothic"/>
          <w:b/>
        </w:rPr>
        <w:t>Referencia: Informe de ponencia para primer debate del Proyecto de Ley número 004 de 2019 Cámara, “</w:t>
      </w:r>
      <w:r>
        <w:rPr>
          <w:rFonts w:ascii="Century Gothic" w:eastAsia="Century Gothic" w:hAnsi="Century Gothic" w:cs="Century Gothic"/>
          <w:i/>
        </w:rPr>
        <w:t>por medio de la cual se prohíbe el porte y consumo de sustancias alcohólicas y alucinógenas o prohibidas, en lugares públicos educativos y recreativos, donde se encuentren presentes menores de edad”.</w:t>
      </w:r>
    </w:p>
    <w:p w:rsidR="007861DF" w:rsidRDefault="007861DF">
      <w:pPr>
        <w:spacing w:before="280" w:after="200"/>
        <w:rPr>
          <w:rFonts w:ascii="Century Gothic" w:eastAsia="Century Gothic" w:hAnsi="Century Gothic" w:cs="Century Gothic"/>
        </w:rPr>
      </w:pPr>
    </w:p>
    <w:p w:rsidR="00BE3162" w:rsidRDefault="00C00C6D">
      <w:pPr>
        <w:spacing w:before="280" w:after="200"/>
        <w:rPr>
          <w:rFonts w:ascii="Century Gothic" w:eastAsia="Century Gothic" w:hAnsi="Century Gothic" w:cs="Century Gothic"/>
        </w:rPr>
      </w:pPr>
      <w:r>
        <w:rPr>
          <w:rFonts w:ascii="Century Gothic" w:eastAsia="Century Gothic" w:hAnsi="Century Gothic" w:cs="Century Gothic"/>
        </w:rPr>
        <w:t xml:space="preserve">Respetado Presidente: </w:t>
      </w:r>
    </w:p>
    <w:p w:rsidR="00BE3162" w:rsidRDefault="00C00C6D">
      <w:pPr>
        <w:spacing w:before="280" w:after="200"/>
        <w:jc w:val="both"/>
        <w:rPr>
          <w:rFonts w:ascii="Century Gothic" w:eastAsia="Century Gothic" w:hAnsi="Century Gothic" w:cs="Century Gothic"/>
          <w:i/>
        </w:rPr>
      </w:pPr>
      <w:r>
        <w:rPr>
          <w:rFonts w:ascii="Century Gothic" w:eastAsia="Century Gothic" w:hAnsi="Century Gothic" w:cs="Century Gothic"/>
        </w:rPr>
        <w:t xml:space="preserve">En cumplimiento de la designación hecha por la Mesa Directiva de la Comisión Primera Constitucional de la Cámara de Representantes y de acuerdo con las disposiciones contenidas en la Ley 5a de 1992, me permito rendir informe de ponencia para primer debate del Proyecto de ley número 004 de 2019 Cámara, </w:t>
      </w:r>
      <w:r w:rsidR="00407762">
        <w:rPr>
          <w:rFonts w:ascii="Century Gothic" w:eastAsia="Century Gothic" w:hAnsi="Century Gothic" w:cs="Century Gothic"/>
        </w:rPr>
        <w:t>“</w:t>
      </w:r>
      <w:r>
        <w:rPr>
          <w:rFonts w:ascii="Century Gothic" w:eastAsia="Century Gothic" w:hAnsi="Century Gothic" w:cs="Century Gothic"/>
          <w:i/>
        </w:rPr>
        <w:t>por medio de la cual se prohíbe el porte y consumo de sustancias alcohólicas y alucinógenas o prohibidas, en lugares públicos educativos y recreativos, donde se encuentren presentes menores de edad.</w:t>
      </w:r>
      <w:r w:rsidR="00407762">
        <w:rPr>
          <w:rFonts w:ascii="Century Gothic" w:eastAsia="Century Gothic" w:hAnsi="Century Gothic" w:cs="Century Gothic"/>
          <w:i/>
        </w:rPr>
        <w:t>”</w:t>
      </w:r>
    </w:p>
    <w:p w:rsidR="007861DF" w:rsidRPr="007861DF" w:rsidRDefault="007861DF">
      <w:pPr>
        <w:spacing w:before="280" w:after="200"/>
        <w:jc w:val="both"/>
        <w:rPr>
          <w:rFonts w:ascii="Century Gothic" w:eastAsia="Century Gothic" w:hAnsi="Century Gothic" w:cs="Century Gothic"/>
        </w:rPr>
      </w:pPr>
      <w:r w:rsidRPr="007861DF">
        <w:rPr>
          <w:rFonts w:ascii="Century Gothic" w:eastAsia="Century Gothic" w:hAnsi="Century Gothic" w:cs="Century Gothic"/>
        </w:rPr>
        <w:t>Conforme a lo previsto en la reglamentación interna, el informe se presenta en tres ejemplares impresos y en medio magnético (CD). El Informe de Ponencia se rinde en los siguientes términos:</w:t>
      </w:r>
    </w:p>
    <w:p w:rsidR="00BE3162" w:rsidRDefault="00C00C6D">
      <w:pPr>
        <w:pBdr>
          <w:top w:val="nil"/>
          <w:left w:val="nil"/>
          <w:bottom w:val="nil"/>
          <w:right w:val="nil"/>
          <w:between w:val="nil"/>
        </w:pBdr>
        <w:spacing w:after="200"/>
        <w:rPr>
          <w:rFonts w:ascii="Century Gothic" w:eastAsia="Century Gothic" w:hAnsi="Century Gothic" w:cs="Century Gothic"/>
          <w:b/>
          <w:color w:val="000000"/>
        </w:rPr>
      </w:pPr>
      <w:r>
        <w:rPr>
          <w:rFonts w:ascii="Century Gothic" w:eastAsia="Century Gothic" w:hAnsi="Century Gothic" w:cs="Century Gothic"/>
          <w:b/>
          <w:color w:val="000000"/>
        </w:rPr>
        <w:t>I. ANTECEDENTES LEGISLATIVOS DEL PROYECTO</w:t>
      </w:r>
    </w:p>
    <w:p w:rsidR="00BE3162" w:rsidRDefault="00C00C6D">
      <w:pPr>
        <w:spacing w:before="240" w:after="240"/>
        <w:jc w:val="both"/>
        <w:rPr>
          <w:rFonts w:ascii="Century Gothic" w:eastAsia="Century Gothic" w:hAnsi="Century Gothic" w:cs="Century Gothic"/>
        </w:rPr>
      </w:pPr>
      <w:r>
        <w:rPr>
          <w:rFonts w:ascii="Century Gothic" w:eastAsia="Century Gothic" w:hAnsi="Century Gothic" w:cs="Century Gothic"/>
        </w:rPr>
        <w:t xml:space="preserve">El 20 de julio de 2019 fue radicado el Proyecto de Ley Nº 004 de 2019 Cámara, por medio de la cual se prohíbe el porte y consumo de sustancias alcohólicas y alucinógenas o prohibidas, en lugares públicos educativos y recreativos, donde se encuentren presentes menores de edad; por iniciativa del Congresista Jaime Felipe Lozada Polanco, Honorable Representante a la Cámara por el departamento del Huila. </w:t>
      </w:r>
    </w:p>
    <w:p w:rsidR="00BE3162" w:rsidRDefault="00C00C6D">
      <w:pPr>
        <w:spacing w:before="240" w:after="240"/>
        <w:jc w:val="both"/>
        <w:rPr>
          <w:rFonts w:ascii="Century Gothic" w:eastAsia="Century Gothic" w:hAnsi="Century Gothic" w:cs="Century Gothic"/>
        </w:rPr>
      </w:pPr>
      <w:r>
        <w:rPr>
          <w:rFonts w:ascii="Century Gothic" w:eastAsia="Century Gothic" w:hAnsi="Century Gothic" w:cs="Century Gothic"/>
        </w:rPr>
        <w:lastRenderedPageBreak/>
        <w:t xml:space="preserve">El proyecto de ley fue publicado en la Gaceta del Congreso número 655 de 2019 y remitido a la Comisión Primera Constitucional de Cámara para su estudio correspondiente, de conformidad con la Ley 3º de 1992. </w:t>
      </w:r>
    </w:p>
    <w:p w:rsidR="00BE3162" w:rsidRDefault="00C00C6D">
      <w:pPr>
        <w:spacing w:before="240" w:after="240"/>
        <w:jc w:val="both"/>
        <w:rPr>
          <w:rFonts w:ascii="Century Gothic" w:eastAsia="Century Gothic" w:hAnsi="Century Gothic" w:cs="Century Gothic"/>
        </w:rPr>
      </w:pPr>
      <w:r>
        <w:rPr>
          <w:rFonts w:ascii="Century Gothic" w:eastAsia="Century Gothic" w:hAnsi="Century Gothic" w:cs="Century Gothic"/>
        </w:rPr>
        <w:t xml:space="preserve">La Mesa Directiva de la Comisión Primera de la Cámara mediante Acta Nº 009 del 04 de septiembre de 2019 designó como ponentes para primer debate a los Honorables Representantes Juan Manuel Daza Iguarán -C-, Buenaventura León León -C-, Jorge Méndez Hernández, Hernán Gustavo Estupiñan Calvache, Jorge Enrique Burgos Lugo, Juanita María Goebertus Estrada y Luis Alberto Albán Urbano. </w:t>
      </w:r>
    </w:p>
    <w:p w:rsidR="00BE3162" w:rsidRDefault="00C00C6D">
      <w:pPr>
        <w:spacing w:before="240" w:after="240"/>
        <w:jc w:val="both"/>
        <w:rPr>
          <w:rFonts w:ascii="Century Gothic" w:eastAsia="Century Gothic" w:hAnsi="Century Gothic" w:cs="Century Gothic"/>
        </w:rPr>
      </w:pPr>
      <w:r>
        <w:rPr>
          <w:rFonts w:ascii="Century Gothic" w:eastAsia="Century Gothic" w:hAnsi="Century Gothic" w:cs="Century Gothic"/>
        </w:rPr>
        <w:t xml:space="preserve">De conformidad con lo anterior, por instrucciones del Presidente de la Comisión Primera de la Cámara de Representantes, y en atención a la solicitud radicada por los representantes ponentes, se concedió prórroga para rendir ponencia para primer debate. </w:t>
      </w:r>
    </w:p>
    <w:p w:rsidR="00BE3162" w:rsidRDefault="00C00C6D">
      <w:pPr>
        <w:pBdr>
          <w:top w:val="nil"/>
          <w:left w:val="nil"/>
          <w:bottom w:val="nil"/>
          <w:right w:val="nil"/>
          <w:between w:val="nil"/>
        </w:pBdr>
        <w:spacing w:after="200"/>
        <w:rPr>
          <w:rFonts w:ascii="Century Gothic" w:eastAsia="Century Gothic" w:hAnsi="Century Gothic" w:cs="Century Gothic"/>
          <w:b/>
          <w:color w:val="000000"/>
        </w:rPr>
      </w:pPr>
      <w:r>
        <w:rPr>
          <w:rFonts w:ascii="Century Gothic" w:eastAsia="Century Gothic" w:hAnsi="Century Gothic" w:cs="Century Gothic"/>
          <w:b/>
          <w:color w:val="000000"/>
        </w:rPr>
        <w:t xml:space="preserve">II. </w:t>
      </w:r>
      <w:r w:rsidR="007861DF">
        <w:rPr>
          <w:rFonts w:ascii="Century Gothic" w:eastAsia="Century Gothic" w:hAnsi="Century Gothic" w:cs="Century Gothic"/>
          <w:b/>
          <w:color w:val="000000"/>
        </w:rPr>
        <w:t>JUSTIFICACIÓN DEL</w:t>
      </w:r>
      <w:r>
        <w:rPr>
          <w:rFonts w:ascii="Century Gothic" w:eastAsia="Century Gothic" w:hAnsi="Century Gothic" w:cs="Century Gothic"/>
          <w:b/>
          <w:color w:val="000000"/>
        </w:rPr>
        <w:t xml:space="preserve"> PROYECTO DE LEY</w:t>
      </w:r>
    </w:p>
    <w:p w:rsidR="00BE3162" w:rsidRDefault="00C00C6D">
      <w:pPr>
        <w:spacing w:before="240" w:after="240"/>
        <w:jc w:val="both"/>
        <w:rPr>
          <w:rFonts w:ascii="Century Gothic" w:eastAsia="Century Gothic" w:hAnsi="Century Gothic" w:cs="Century Gothic"/>
        </w:rPr>
      </w:pPr>
      <w:r>
        <w:rPr>
          <w:rFonts w:ascii="Century Gothic" w:eastAsia="Century Gothic" w:hAnsi="Century Gothic" w:cs="Century Gothic"/>
        </w:rPr>
        <w:t xml:space="preserve">El presente Proyecto de Ley </w:t>
      </w:r>
      <w:r w:rsidR="007861DF">
        <w:rPr>
          <w:rFonts w:ascii="Century Gothic" w:eastAsia="Century Gothic" w:hAnsi="Century Gothic" w:cs="Century Gothic"/>
        </w:rPr>
        <w:t>inicialmente pretende introducir al ordenamiento jurídico, normas sin articulación, creando vacíos interpretativos y luego hace una remisión al Código Nacional de Policía. Por ello,</w:t>
      </w:r>
      <w:r>
        <w:rPr>
          <w:rFonts w:ascii="Century Gothic" w:eastAsia="Century Gothic" w:hAnsi="Century Gothic" w:cs="Century Gothic"/>
        </w:rPr>
        <w:t xml:space="preserve"> </w:t>
      </w:r>
      <w:r w:rsidR="007861DF">
        <w:rPr>
          <w:rFonts w:ascii="Century Gothic" w:eastAsia="Century Gothic" w:hAnsi="Century Gothic" w:cs="Century Gothic"/>
        </w:rPr>
        <w:t>se propone</w:t>
      </w:r>
      <w:r>
        <w:rPr>
          <w:rFonts w:ascii="Century Gothic" w:eastAsia="Century Gothic" w:hAnsi="Century Gothic" w:cs="Century Gothic"/>
        </w:rPr>
        <w:t xml:space="preserve"> modificar la Ley 1801 de 2016, con el fin de prohibir el consumo de sustancias alcohólicas, estupefacientes, sicotrópicas o prohibidas, en presencia de menores de edad, en espacio público, lugares abiertos al público, o que siendo privados trascienden a lo público. Lo anterior, con el fin de garantizar la especial protección constitucional de los niños, niñas y adolescentes de nuestro país.</w:t>
      </w:r>
      <w:r>
        <w:rPr>
          <w:rFonts w:ascii="Arial" w:eastAsia="Arial" w:hAnsi="Arial" w:cs="Arial"/>
        </w:rPr>
        <w:t xml:space="preserve"> </w:t>
      </w:r>
    </w:p>
    <w:p w:rsidR="00BE3162" w:rsidRDefault="00C00C6D">
      <w:pPr>
        <w:pBdr>
          <w:top w:val="nil"/>
          <w:left w:val="nil"/>
          <w:bottom w:val="nil"/>
          <w:right w:val="nil"/>
          <w:between w:val="nil"/>
        </w:pBdr>
        <w:spacing w:after="200"/>
        <w:rPr>
          <w:rFonts w:ascii="Century Gothic" w:eastAsia="Century Gothic" w:hAnsi="Century Gothic" w:cs="Century Gothic"/>
          <w:b/>
          <w:color w:val="000000"/>
        </w:rPr>
      </w:pPr>
      <w:r>
        <w:rPr>
          <w:rFonts w:ascii="Century Gothic" w:eastAsia="Century Gothic" w:hAnsi="Century Gothic" w:cs="Century Gothic"/>
          <w:b/>
          <w:color w:val="000000"/>
        </w:rPr>
        <w:t>III. ESTRUCTURA DEL PROYECTO DE LEY</w:t>
      </w:r>
    </w:p>
    <w:p w:rsidR="00BE3162" w:rsidRDefault="00C00C6D">
      <w:pPr>
        <w:pBdr>
          <w:top w:val="nil"/>
          <w:left w:val="nil"/>
          <w:bottom w:val="nil"/>
          <w:right w:val="nil"/>
          <w:between w:val="nil"/>
        </w:pBdr>
        <w:spacing w:after="200"/>
        <w:jc w:val="both"/>
        <w:rPr>
          <w:rFonts w:ascii="Century Gothic" w:eastAsia="Century Gothic" w:hAnsi="Century Gothic" w:cs="Century Gothic"/>
        </w:rPr>
      </w:pPr>
      <w:r>
        <w:rPr>
          <w:rFonts w:ascii="Century Gothic" w:eastAsia="Century Gothic" w:hAnsi="Century Gothic" w:cs="Century Gothic"/>
        </w:rPr>
        <w:t xml:space="preserve">El Proyecto de Ley 004 de 2019 Cámara contiene cuatro artículos incluyendo la vigencia. En el artículo primero se presenta una modificación al inciso C del numeral 2 del artículo 33 de la Ley 1801 de 2016, “por la cual se expide el Código Nacional de Policía y Convivencia”, donde se establece una prohibición frente al consumo de sustancias alcohólicas, estupefacientes, sicotrópicas o prohibidas, en presencia de menores de edad, en espacio público, lugares abiertos al público, o que siendo privados trascienden a lo público. </w:t>
      </w:r>
    </w:p>
    <w:p w:rsidR="00BE3162" w:rsidRDefault="00C00C6D">
      <w:pPr>
        <w:pBdr>
          <w:top w:val="nil"/>
          <w:left w:val="nil"/>
          <w:bottom w:val="nil"/>
          <w:right w:val="nil"/>
          <w:between w:val="nil"/>
        </w:pBdr>
        <w:spacing w:after="200"/>
        <w:jc w:val="both"/>
        <w:rPr>
          <w:rFonts w:ascii="Century Gothic" w:eastAsia="Century Gothic" w:hAnsi="Century Gothic" w:cs="Century Gothic"/>
        </w:rPr>
      </w:pPr>
      <w:r>
        <w:rPr>
          <w:rFonts w:ascii="Century Gothic" w:eastAsia="Century Gothic" w:hAnsi="Century Gothic" w:cs="Century Gothic"/>
        </w:rPr>
        <w:t xml:space="preserve">El artículo segundo, por su parte presenta una excepción a mencionada prohibición, únicamente frente al consumo de alcohol, siempre y cuando el Alcalde reglamente el consumo de dichas bebidas en sus territorios durante las festividades con arraigo tradicional o eventos culturales. De conformidad con lo anterior, el artículo tercero establece las sanciones que tendrán lugar </w:t>
      </w:r>
      <w:r>
        <w:rPr>
          <w:rFonts w:ascii="Century Gothic" w:eastAsia="Century Gothic" w:hAnsi="Century Gothic" w:cs="Century Gothic"/>
        </w:rPr>
        <w:lastRenderedPageBreak/>
        <w:t xml:space="preserve">en caso de incumplir con lo estipulado y finalmente, el artículo cuarto determina la vigencia en cuestión. </w:t>
      </w:r>
    </w:p>
    <w:p w:rsidR="00BE3162" w:rsidRDefault="00C00C6D">
      <w:pPr>
        <w:pBdr>
          <w:top w:val="nil"/>
          <w:left w:val="nil"/>
          <w:bottom w:val="nil"/>
          <w:right w:val="nil"/>
          <w:between w:val="nil"/>
        </w:pBdr>
        <w:spacing w:after="200"/>
        <w:rPr>
          <w:rFonts w:ascii="Century Gothic" w:eastAsia="Century Gothic" w:hAnsi="Century Gothic" w:cs="Century Gothic"/>
          <w:b/>
          <w:color w:val="000000"/>
        </w:rPr>
      </w:pPr>
      <w:r>
        <w:rPr>
          <w:rFonts w:ascii="Century Gothic" w:eastAsia="Century Gothic" w:hAnsi="Century Gothic" w:cs="Century Gothic"/>
          <w:b/>
          <w:color w:val="000000"/>
        </w:rPr>
        <w:t>IV. CONSIDERACIONES</w:t>
      </w:r>
    </w:p>
    <w:p w:rsidR="00BE3162" w:rsidRDefault="00C00C6D">
      <w:pPr>
        <w:pBdr>
          <w:top w:val="nil"/>
          <w:left w:val="nil"/>
          <w:bottom w:val="nil"/>
          <w:right w:val="nil"/>
          <w:between w:val="nil"/>
        </w:pBdr>
        <w:spacing w:after="200"/>
        <w:ind w:firstLine="720"/>
        <w:jc w:val="both"/>
        <w:rPr>
          <w:rFonts w:ascii="Century Gothic" w:eastAsia="Century Gothic" w:hAnsi="Century Gothic" w:cs="Century Gothic"/>
          <w:b/>
          <w:color w:val="000000"/>
        </w:rPr>
      </w:pPr>
      <w:r>
        <w:rPr>
          <w:rFonts w:ascii="Century Gothic" w:eastAsia="Century Gothic" w:hAnsi="Century Gothic" w:cs="Century Gothic"/>
          <w:b/>
          <w:color w:val="000000"/>
        </w:rPr>
        <w:t>1. NORMAS CONSTITUCIONALES Y LEGALES</w:t>
      </w:r>
    </w:p>
    <w:p w:rsidR="00BE3162" w:rsidRDefault="00C00C6D">
      <w:pPr>
        <w:spacing w:before="240" w:after="240"/>
        <w:jc w:val="both"/>
        <w:rPr>
          <w:rFonts w:ascii="Century Gothic" w:eastAsia="Century Gothic" w:hAnsi="Century Gothic" w:cs="Century Gothic"/>
        </w:rPr>
      </w:pPr>
      <w:r>
        <w:rPr>
          <w:rFonts w:ascii="Century Gothic" w:eastAsia="Century Gothic" w:hAnsi="Century Gothic" w:cs="Century Gothic"/>
        </w:rPr>
        <w:t>El presente Proyecto de Ley tiene por objeto, modificar la Ley 1801 de 2016, con el fin de prohibir el consumo de sustancias alcohólicas, estupefacientes, sicotrópicas o prohibidas, en presencia de menores de edad, en espacio público, lugares abiertos al público, o que siendo privados trascienden a lo público, para tal fin es necesario reconocer la importancia de hacer explícita la protección especial de los derechos de los niños y niñas, consagrada desde la declaración de Ginebra donde se hace mención a la obligación por parte de los estados de reconocer el derecho de los niños a disponer de los medios para su desarrollo material y moral, seguido por la declaración Universal de los derechos Humanos de naciones unidas que entró a proclamar por primera vez, que la infancia tiene derecho a cuidados y asistencia especiales.</w:t>
      </w:r>
    </w:p>
    <w:p w:rsidR="00BE3162" w:rsidRDefault="00C00C6D">
      <w:pPr>
        <w:spacing w:before="240" w:after="240"/>
        <w:jc w:val="both"/>
        <w:rPr>
          <w:rFonts w:ascii="Century Gothic" w:eastAsia="Century Gothic" w:hAnsi="Century Gothic" w:cs="Century Gothic"/>
        </w:rPr>
      </w:pPr>
      <w:r>
        <w:rPr>
          <w:rFonts w:ascii="Century Gothic" w:eastAsia="Century Gothic" w:hAnsi="Century Gothic" w:cs="Century Gothic"/>
        </w:rPr>
        <w:t>En el ámbito Interamericano, la Convención Americana de Derechos Humanos, en su artículo 19, estableció el derecho de los niños y niñas a ser protegidos conforme a su condición de personas menores de edad, en 1959, la Organización de las Naciones Unidas (ONU) adoptó el primer instrumento no vinculante en materia de derechos de los niños y las niñas, a saber, la Declaración sobre los Derechos del Niño (DDN). En esta se reconoce que los niños y niñas deben gozar de una protección especial, para lo cual, se debe atender al principio del interés superior del niño. (Compilación de la Normativa internacional y nacional en materia de Derechos de los Niños, las Niñas y Adolescentes Autora: ANA MARÍA JIMÉNEZ PAVA).</w:t>
      </w:r>
    </w:p>
    <w:p w:rsidR="00BE3162" w:rsidRDefault="00C00C6D">
      <w:pPr>
        <w:spacing w:before="240" w:after="240"/>
        <w:jc w:val="both"/>
        <w:rPr>
          <w:rFonts w:ascii="Century Gothic" w:eastAsia="Century Gothic" w:hAnsi="Century Gothic" w:cs="Century Gothic"/>
        </w:rPr>
      </w:pPr>
      <w:r>
        <w:rPr>
          <w:rFonts w:ascii="Century Gothic" w:eastAsia="Century Gothic" w:hAnsi="Century Gothic" w:cs="Century Gothic"/>
        </w:rPr>
        <w:t>El anterior marco normativo llega a su punto culmen con la promulgación de la  Convención Internacional sobre los Derechos del niño (CDN), adoptada por las Naciones Unidas el 20 de noviembre de 1989 en la cual se  estableció un catálogo amplio de derechos de los niños y las niñas, los principios especiales para la interpretación de las normas allí contenidas, las reglas mínimas de aplicación de los sistemas de responsabilidad juvenil y adopciones, entre otros mecanismos, de donde se obtiene el primer punto  a resaltar dentro del presente proyecto de ley que es el reconocimiento  del principio del interés superior de los niños y niñas como un instrumento de interpretación y aplicación a los estados partes que lo adoptaron.</w:t>
      </w:r>
    </w:p>
    <w:p w:rsidR="00BE3162" w:rsidRDefault="00C00C6D">
      <w:pPr>
        <w:spacing w:before="240" w:after="240"/>
        <w:jc w:val="both"/>
        <w:rPr>
          <w:rFonts w:ascii="Century Gothic" w:eastAsia="Century Gothic" w:hAnsi="Century Gothic" w:cs="Century Gothic"/>
        </w:rPr>
      </w:pPr>
      <w:r>
        <w:rPr>
          <w:rFonts w:ascii="Century Gothic" w:eastAsia="Century Gothic" w:hAnsi="Century Gothic" w:cs="Century Gothic"/>
        </w:rPr>
        <w:t xml:space="preserve">Es importante resaltar que en países como Colombia en  donde prevalece una situación de conflicto armado y en  la cual los niños y niñas tienen un </w:t>
      </w:r>
      <w:r>
        <w:rPr>
          <w:rFonts w:ascii="Century Gothic" w:eastAsia="Century Gothic" w:hAnsi="Century Gothic" w:cs="Century Gothic"/>
        </w:rPr>
        <w:lastRenderedPageBreak/>
        <w:t>mayor grado de vulnerabilidad  esta normatividad de carácter internacional tiene una aplicación especial  en el marco del  bloque de constitucional.</w:t>
      </w:r>
    </w:p>
    <w:p w:rsidR="00BE3162" w:rsidRDefault="00C00C6D">
      <w:pPr>
        <w:spacing w:before="240" w:after="240"/>
        <w:jc w:val="both"/>
        <w:rPr>
          <w:rFonts w:ascii="Century Gothic" w:eastAsia="Century Gothic" w:hAnsi="Century Gothic" w:cs="Century Gothic"/>
        </w:rPr>
      </w:pPr>
      <w:r>
        <w:rPr>
          <w:rFonts w:ascii="Century Gothic" w:eastAsia="Century Gothic" w:hAnsi="Century Gothic" w:cs="Century Gothic"/>
        </w:rPr>
        <w:t xml:space="preserve"> Por otra  parte Constitucionalmente el proyecto de ley se fundamenta en el artículo 44  donde se establece que: </w:t>
      </w:r>
    </w:p>
    <w:p w:rsidR="00BE3162" w:rsidRDefault="00C00C6D">
      <w:pPr>
        <w:spacing w:before="240" w:after="240"/>
        <w:ind w:left="700" w:firstLine="700"/>
        <w:jc w:val="both"/>
        <w:rPr>
          <w:rFonts w:ascii="Century Gothic" w:eastAsia="Century Gothic" w:hAnsi="Century Gothic" w:cs="Century Gothic"/>
          <w:i/>
        </w:rPr>
      </w:pPr>
      <w:r>
        <w:rPr>
          <w:rFonts w:ascii="Century Gothic" w:eastAsia="Century Gothic" w:hAnsi="Century Gothic" w:cs="Century Gothic"/>
          <w:i/>
        </w:rPr>
        <w:t>”Son derechos fundamentales de los niños: la vida, la integridad física, la salud y la seguridad social, la alimentación equilibrada, su nombre y nacionalidad, tener una familia y no ser separados de ella, el cuidado y amor, la educación y la cultura, la recreación y la libre expresión de su opinión. Serán protegidos contra toda forma de abandono, violencia física o moral, secuestro, venta, abuso sexual, explotación laboral o económica y trabajos riesgosos.</w:t>
      </w:r>
    </w:p>
    <w:p w:rsidR="00BE3162" w:rsidRDefault="00C00C6D">
      <w:pPr>
        <w:spacing w:before="240" w:after="240"/>
        <w:ind w:left="700" w:firstLine="700"/>
        <w:jc w:val="both"/>
        <w:rPr>
          <w:rFonts w:ascii="Century Gothic" w:eastAsia="Century Gothic" w:hAnsi="Century Gothic" w:cs="Century Gothic"/>
          <w:i/>
        </w:rPr>
      </w:pPr>
      <w:r>
        <w:rPr>
          <w:rFonts w:ascii="Century Gothic" w:eastAsia="Century Gothic" w:hAnsi="Century Gothic" w:cs="Century Gothic"/>
          <w:i/>
        </w:rPr>
        <w:t xml:space="preserve"> Gozarán también de los demás derechos consagrados en la Constitución, en las leyes y en los tratados internacionales ratificados por Colombia. La familia, la sociedad y el Estado tienen la obligación de asistir y proteger al niño para garantizar su desarrollo armónico e integral y el ejercicio pleno de sus derechos. Cualquier persona puede exigir de la autoridad competente su cumplimiento y la sanción de los infractores. Los derechos de los niños prevalecen sobre los derechos de los demás.”</w:t>
      </w:r>
    </w:p>
    <w:p w:rsidR="00BE3162" w:rsidRDefault="00C00C6D">
      <w:pPr>
        <w:spacing w:before="240" w:after="240"/>
        <w:jc w:val="both"/>
        <w:rPr>
          <w:rFonts w:ascii="Century Gothic" w:eastAsia="Century Gothic" w:hAnsi="Century Gothic" w:cs="Century Gothic"/>
        </w:rPr>
      </w:pPr>
      <w:r>
        <w:rPr>
          <w:rFonts w:ascii="Century Gothic" w:eastAsia="Century Gothic" w:hAnsi="Century Gothic" w:cs="Century Gothic"/>
        </w:rPr>
        <w:t>Teniendo en cuenta el siguiente texto la norma constitucional  reconoce en el estado Colombiano los intereses superiores de los menores procurando su desarrollo armónico e integral, en concordancia con el artículo 1 donde se establece que en el marco del estado social y democrático de derecho el respeto a la dignidad humana de los niños, niñas y adolescentes se constituye como pilar fundamental del Estado colombiano, razón por la cual el proyecto de ley se materializa en promulgar una ley en la que se evidencia la supremacía de la protección a los menores desde los diferentes estamentos sociales como lo son la familia y la sociedad.</w:t>
      </w:r>
    </w:p>
    <w:p w:rsidR="00BE3162" w:rsidRDefault="00C00C6D">
      <w:pPr>
        <w:spacing w:before="240" w:after="240"/>
        <w:jc w:val="both"/>
        <w:rPr>
          <w:rFonts w:ascii="Century Gothic" w:eastAsia="Century Gothic" w:hAnsi="Century Gothic" w:cs="Century Gothic"/>
        </w:rPr>
      </w:pPr>
      <w:r>
        <w:rPr>
          <w:rFonts w:ascii="Century Gothic" w:eastAsia="Century Gothic" w:hAnsi="Century Gothic" w:cs="Century Gothic"/>
        </w:rPr>
        <w:t>Ahora bien en el marco legal Colombiano se ratificó la Convención de los derechos de los niños mediante la  ley 12 de 1991, y a  su vez se obligó a adoptar la legislación interna en el marco del reconocimiento de la superioridad de los derechos de los niños y niñas, razón por la cual en con  la promulgación de la Ley 1098 de 2006 “Por la cual se expide el Código de la Infancia y la Adolescencia”,  se incorporó al bloque de constitucionalidad  la importancia de los intereses superiores de los niños y niñas y la protección a los mismos.</w:t>
      </w:r>
    </w:p>
    <w:p w:rsidR="00BE3162" w:rsidRDefault="00C00C6D">
      <w:pPr>
        <w:spacing w:before="240" w:after="240"/>
        <w:jc w:val="both"/>
        <w:rPr>
          <w:rFonts w:ascii="Century Gothic" w:eastAsia="Century Gothic" w:hAnsi="Century Gothic" w:cs="Century Gothic"/>
        </w:rPr>
      </w:pPr>
      <w:r>
        <w:rPr>
          <w:rFonts w:ascii="Century Gothic" w:eastAsia="Century Gothic" w:hAnsi="Century Gothic" w:cs="Century Gothic"/>
        </w:rPr>
        <w:t>Con la adopción por parte del estado Colombiano del siguiente grupo normativo:</w:t>
      </w:r>
    </w:p>
    <w:p w:rsidR="00BE3162" w:rsidRDefault="00C00C6D">
      <w:pPr>
        <w:numPr>
          <w:ilvl w:val="0"/>
          <w:numId w:val="1"/>
        </w:numPr>
        <w:spacing w:after="200"/>
        <w:jc w:val="both"/>
        <w:rPr>
          <w:rFonts w:ascii="Century Gothic" w:eastAsia="Century Gothic" w:hAnsi="Century Gothic" w:cs="Century Gothic"/>
        </w:rPr>
      </w:pPr>
      <w:r>
        <w:rPr>
          <w:rFonts w:ascii="Century Gothic" w:eastAsia="Century Gothic" w:hAnsi="Century Gothic" w:cs="Century Gothic"/>
        </w:rPr>
        <w:lastRenderedPageBreak/>
        <w:t>Ley 12 de 1991 “Por medio de la cual se aprueba la Convención sobre los Derechos del Niño adoptada por la Asamblea General de las Naciones Unidas en 1989”.</w:t>
      </w:r>
    </w:p>
    <w:p w:rsidR="00BE3162" w:rsidRDefault="00C00C6D">
      <w:pPr>
        <w:numPr>
          <w:ilvl w:val="0"/>
          <w:numId w:val="1"/>
        </w:numPr>
        <w:spacing w:after="200"/>
        <w:jc w:val="both"/>
        <w:rPr>
          <w:rFonts w:ascii="Century Gothic" w:eastAsia="Century Gothic" w:hAnsi="Century Gothic" w:cs="Century Gothic"/>
        </w:rPr>
      </w:pPr>
      <w:r>
        <w:rPr>
          <w:rFonts w:ascii="Century Gothic" w:eastAsia="Century Gothic" w:hAnsi="Century Gothic" w:cs="Century Gothic"/>
        </w:rPr>
        <w:t>Ley 1098 de 2006 “Por la cual se expide el Código de la Infancia y la Adolescencia”.</w:t>
      </w:r>
    </w:p>
    <w:p w:rsidR="00BE3162" w:rsidRDefault="00C00C6D">
      <w:pPr>
        <w:numPr>
          <w:ilvl w:val="0"/>
          <w:numId w:val="1"/>
        </w:numPr>
        <w:spacing w:after="200"/>
        <w:jc w:val="both"/>
        <w:rPr>
          <w:rFonts w:ascii="Century Gothic" w:eastAsia="Century Gothic" w:hAnsi="Century Gothic" w:cs="Century Gothic"/>
        </w:rPr>
      </w:pPr>
      <w:r>
        <w:rPr>
          <w:rFonts w:ascii="Century Gothic" w:eastAsia="Century Gothic" w:hAnsi="Century Gothic" w:cs="Century Gothic"/>
        </w:rPr>
        <w:t>Conpes 3629 de 2009 “Sistema de Responsabilidad Penal para Adolescentes – SRPA: Política de Atención al Adolescente en Conflicto con la Ley”.</w:t>
      </w:r>
    </w:p>
    <w:p w:rsidR="00BE3162" w:rsidRDefault="00C00C6D">
      <w:pPr>
        <w:numPr>
          <w:ilvl w:val="0"/>
          <w:numId w:val="1"/>
        </w:numPr>
        <w:spacing w:after="200"/>
        <w:jc w:val="both"/>
        <w:rPr>
          <w:rFonts w:ascii="Century Gothic" w:eastAsia="Century Gothic" w:hAnsi="Century Gothic" w:cs="Century Gothic"/>
        </w:rPr>
      </w:pPr>
      <w:r>
        <w:rPr>
          <w:rFonts w:ascii="Century Gothic" w:eastAsia="Century Gothic" w:hAnsi="Century Gothic" w:cs="Century Gothic"/>
        </w:rPr>
        <w:t>Ley 173 de 1994 “Por medio de la cual se aprueba el Convenio sobre Aspectos Civiles del Secuestro Internacional de Niños, suscrito en la Haya en 1980”.</w:t>
      </w:r>
    </w:p>
    <w:p w:rsidR="00BE3162" w:rsidRDefault="00C00C6D">
      <w:pPr>
        <w:numPr>
          <w:ilvl w:val="0"/>
          <w:numId w:val="1"/>
        </w:numPr>
        <w:spacing w:after="200"/>
        <w:jc w:val="both"/>
        <w:rPr>
          <w:rFonts w:ascii="Century Gothic" w:eastAsia="Century Gothic" w:hAnsi="Century Gothic" w:cs="Century Gothic"/>
        </w:rPr>
      </w:pPr>
      <w:r>
        <w:rPr>
          <w:rFonts w:ascii="Century Gothic" w:eastAsia="Century Gothic" w:hAnsi="Century Gothic" w:cs="Century Gothic"/>
        </w:rPr>
        <w:t>Decreto 0859 de 1995 “Por el cual se crea el Comité Interinstitucional para la erradicación del Trabajo Infantil y la Protección del Menor Trabajador”.</w:t>
      </w:r>
    </w:p>
    <w:p w:rsidR="00BE3162" w:rsidRDefault="00C00C6D">
      <w:pPr>
        <w:numPr>
          <w:ilvl w:val="0"/>
          <w:numId w:val="1"/>
        </w:numPr>
        <w:spacing w:after="200"/>
        <w:jc w:val="both"/>
        <w:rPr>
          <w:rFonts w:ascii="Century Gothic" w:eastAsia="Century Gothic" w:hAnsi="Century Gothic" w:cs="Century Gothic"/>
        </w:rPr>
      </w:pPr>
      <w:r>
        <w:rPr>
          <w:rFonts w:ascii="Century Gothic" w:eastAsia="Century Gothic" w:hAnsi="Century Gothic" w:cs="Century Gothic"/>
        </w:rPr>
        <w:t>Ley 375 de 1997 “Por la cual se crea la Ley de la juventud y se dictan otras disposiciones”.</w:t>
      </w:r>
    </w:p>
    <w:p w:rsidR="00BE3162" w:rsidRDefault="00C00C6D">
      <w:pPr>
        <w:numPr>
          <w:ilvl w:val="0"/>
          <w:numId w:val="1"/>
        </w:numPr>
        <w:spacing w:after="200"/>
        <w:jc w:val="both"/>
        <w:rPr>
          <w:rFonts w:ascii="Century Gothic" w:eastAsia="Century Gothic" w:hAnsi="Century Gothic" w:cs="Century Gothic"/>
        </w:rPr>
      </w:pPr>
      <w:r>
        <w:rPr>
          <w:rFonts w:ascii="Century Gothic" w:eastAsia="Century Gothic" w:hAnsi="Century Gothic" w:cs="Century Gothic"/>
        </w:rPr>
        <w:t>Ley 470 de 1998 “Por medio de la cual se aprueba la “Convención Interamericana sobre Tráfico Internacional de Menores”, hecha en México en 1994”.</w:t>
      </w:r>
    </w:p>
    <w:p w:rsidR="00BE3162" w:rsidRDefault="00C00C6D">
      <w:pPr>
        <w:numPr>
          <w:ilvl w:val="0"/>
          <w:numId w:val="1"/>
        </w:numPr>
        <w:spacing w:after="200"/>
        <w:jc w:val="both"/>
        <w:rPr>
          <w:rFonts w:ascii="Century Gothic" w:eastAsia="Century Gothic" w:hAnsi="Century Gothic" w:cs="Century Gothic"/>
        </w:rPr>
      </w:pPr>
      <w:r>
        <w:rPr>
          <w:rFonts w:ascii="Century Gothic" w:eastAsia="Century Gothic" w:hAnsi="Century Gothic" w:cs="Century Gothic"/>
        </w:rPr>
        <w:t>Ley 515 de 1999 “Por medio de la cual se aprueba el "Convenio 138 sobre la Edad Mínima de Admisión de Empleo", adoptada por la OIT, en 1973”.</w:t>
      </w:r>
    </w:p>
    <w:p w:rsidR="00BE3162" w:rsidRDefault="00C00C6D">
      <w:pPr>
        <w:numPr>
          <w:ilvl w:val="0"/>
          <w:numId w:val="1"/>
        </w:numPr>
        <w:spacing w:after="200"/>
        <w:jc w:val="both"/>
        <w:rPr>
          <w:rFonts w:ascii="Century Gothic" w:eastAsia="Century Gothic" w:hAnsi="Century Gothic" w:cs="Century Gothic"/>
        </w:rPr>
      </w:pPr>
      <w:r>
        <w:rPr>
          <w:rFonts w:ascii="Century Gothic" w:eastAsia="Century Gothic" w:hAnsi="Century Gothic" w:cs="Century Gothic"/>
        </w:rPr>
        <w:t>Ley 670 de 2001 “Por medio de la cual se desarrolla parcialmente el art. 44 de la C.P para garantizar la vida, la integridad física y la recreación del niño expuesto al riesgo por manejo artículos pirotécnicos o explosivos”.</w:t>
      </w:r>
    </w:p>
    <w:p w:rsidR="00BE3162" w:rsidRDefault="00C00C6D">
      <w:pPr>
        <w:numPr>
          <w:ilvl w:val="0"/>
          <w:numId w:val="1"/>
        </w:numPr>
        <w:spacing w:after="200"/>
        <w:jc w:val="both"/>
        <w:rPr>
          <w:rFonts w:ascii="Century Gothic" w:eastAsia="Century Gothic" w:hAnsi="Century Gothic" w:cs="Century Gothic"/>
        </w:rPr>
      </w:pPr>
      <w:r>
        <w:rPr>
          <w:rFonts w:ascii="Century Gothic" w:eastAsia="Century Gothic" w:hAnsi="Century Gothic" w:cs="Century Gothic"/>
        </w:rPr>
        <w:t>Ley 679 de 2001 “Por medio de la cual se expide un estatuto para prevenir y contrarrestar la explotación, la pornografía y el turismo sexual con menores”.</w:t>
      </w:r>
    </w:p>
    <w:p w:rsidR="00BE3162" w:rsidRDefault="00C00C6D">
      <w:pPr>
        <w:numPr>
          <w:ilvl w:val="0"/>
          <w:numId w:val="1"/>
        </w:numPr>
        <w:spacing w:after="200"/>
        <w:jc w:val="both"/>
        <w:rPr>
          <w:rFonts w:ascii="Century Gothic" w:eastAsia="Century Gothic" w:hAnsi="Century Gothic" w:cs="Century Gothic"/>
        </w:rPr>
      </w:pPr>
      <w:r>
        <w:rPr>
          <w:rFonts w:ascii="Century Gothic" w:eastAsia="Century Gothic" w:hAnsi="Century Gothic" w:cs="Century Gothic"/>
        </w:rPr>
        <w:t>Ley 704 de 2001 “Por medio de la cual se aprueba el “Convenio 182 sobre la prohibición de las peores formas de trabajo infantil y la acción inmediata para su eliminación”.</w:t>
      </w:r>
    </w:p>
    <w:p w:rsidR="00BE3162" w:rsidRDefault="00C00C6D">
      <w:pPr>
        <w:spacing w:before="240" w:after="240"/>
        <w:jc w:val="both"/>
        <w:rPr>
          <w:rFonts w:ascii="Century Gothic" w:eastAsia="Century Gothic" w:hAnsi="Century Gothic" w:cs="Century Gothic"/>
        </w:rPr>
      </w:pPr>
      <w:r>
        <w:rPr>
          <w:rFonts w:ascii="Century Gothic" w:eastAsia="Century Gothic" w:hAnsi="Century Gothic" w:cs="Century Gothic"/>
        </w:rPr>
        <w:t xml:space="preserve">Se da prioridad a la primera infancia garantizando sus derechos para el desarrollo integral  desde los diferentes aspectos como el social y psicológico, toda vez que acciones puntuales para la protección de sus derechos hace decisivo la estructura de personalidad y comportamiento </w:t>
      </w:r>
      <w:r>
        <w:rPr>
          <w:rFonts w:ascii="Century Gothic" w:eastAsia="Century Gothic" w:hAnsi="Century Gothic" w:cs="Century Gothic"/>
        </w:rPr>
        <w:lastRenderedPageBreak/>
        <w:t>dentro de un entorno social, en la medida del reconocimiento de la superioridad de sus derechos.</w:t>
      </w:r>
    </w:p>
    <w:p w:rsidR="00BE3162" w:rsidRDefault="00C00C6D">
      <w:pPr>
        <w:spacing w:before="240" w:after="240"/>
        <w:jc w:val="both"/>
        <w:rPr>
          <w:rFonts w:ascii="Century Gothic" w:eastAsia="Century Gothic" w:hAnsi="Century Gothic" w:cs="Century Gothic"/>
          <w:b/>
        </w:rPr>
      </w:pPr>
      <w:r>
        <w:rPr>
          <w:rFonts w:ascii="Century Gothic" w:eastAsia="Century Gothic" w:hAnsi="Century Gothic" w:cs="Century Gothic"/>
        </w:rPr>
        <w:t>Así las  cosas se concluye que una vez analizada la parte normativa se establece el principio del interés superior de los niños y niñas en relación con decisiones y medidas que afecten su bienestar y la reglamentación en legislación, políticas públicas, decisiones administrativas y judiciales y que así se ponderen derechos fundamentales para el resto del conglomerado social debe prevalecer el principio del interés superior del niño. Ello incluye las medidas que los afecten directamente como el  hecho  de que  estar expuestos al consumo de sustancias alcohólicas y alucinógenas o prohibidas, en lugares públicos educativos y recreativo.</w:t>
      </w:r>
    </w:p>
    <w:p w:rsidR="00BE3162" w:rsidRDefault="00C00C6D">
      <w:pPr>
        <w:pBdr>
          <w:top w:val="nil"/>
          <w:left w:val="nil"/>
          <w:bottom w:val="nil"/>
          <w:right w:val="nil"/>
          <w:between w:val="nil"/>
        </w:pBdr>
        <w:spacing w:after="200"/>
        <w:ind w:firstLine="720"/>
        <w:jc w:val="both"/>
        <w:rPr>
          <w:rFonts w:ascii="Century Gothic" w:eastAsia="Century Gothic" w:hAnsi="Century Gothic" w:cs="Century Gothic"/>
          <w:b/>
        </w:rPr>
      </w:pPr>
      <w:r>
        <w:rPr>
          <w:rFonts w:ascii="Century Gothic" w:eastAsia="Century Gothic" w:hAnsi="Century Gothic" w:cs="Century Gothic"/>
          <w:b/>
          <w:color w:val="000000"/>
        </w:rPr>
        <w:t xml:space="preserve">1.1. </w:t>
      </w:r>
      <w:r>
        <w:rPr>
          <w:rFonts w:ascii="Century Gothic" w:eastAsia="Century Gothic" w:hAnsi="Century Gothic" w:cs="Century Gothic"/>
          <w:b/>
        </w:rPr>
        <w:t>DESARROLLO J</w:t>
      </w:r>
      <w:r>
        <w:rPr>
          <w:rFonts w:ascii="Century Gothic" w:eastAsia="Century Gothic" w:hAnsi="Century Gothic" w:cs="Century Gothic"/>
          <w:b/>
          <w:color w:val="000000"/>
        </w:rPr>
        <w:t>URISPRUDENCIAL</w:t>
      </w:r>
    </w:p>
    <w:p w:rsidR="00BE3162" w:rsidRDefault="00C00C6D">
      <w:pPr>
        <w:spacing w:after="160" w:line="256" w:lineRule="auto"/>
        <w:jc w:val="both"/>
        <w:rPr>
          <w:rFonts w:ascii="Century Gothic" w:eastAsia="Century Gothic" w:hAnsi="Century Gothic" w:cs="Century Gothic"/>
        </w:rPr>
      </w:pPr>
      <w:r>
        <w:rPr>
          <w:rFonts w:ascii="Century Gothic" w:eastAsia="Century Gothic" w:hAnsi="Century Gothic" w:cs="Century Gothic"/>
        </w:rPr>
        <w:t>La Corte Constitucional mediante Sentencia 253 de 2019 declaró la inexequibilidad de las expresiones “alcohólicas, psicoactivas o” contenidas en el Artículo 33 (literal c, numeral 2) del Código Nacional de Policía y Convivencia (Ley 1801 de 2016) y las expresiones “bebidas alcohólicas” y “psicoactivas o” contenidas en el Artículo 140 (numeral 7) del Código Nacional de Policía y Convivencia (Ley 1801 de 2016).</w:t>
      </w:r>
    </w:p>
    <w:p w:rsidR="00BE3162" w:rsidRDefault="00C00C6D">
      <w:pPr>
        <w:spacing w:after="160" w:line="256" w:lineRule="auto"/>
        <w:jc w:val="both"/>
        <w:rPr>
          <w:rFonts w:ascii="Century Gothic" w:eastAsia="Century Gothic" w:hAnsi="Century Gothic" w:cs="Century Gothic"/>
        </w:rPr>
      </w:pPr>
      <w:r>
        <w:rPr>
          <w:rFonts w:ascii="Century Gothic" w:eastAsia="Century Gothic" w:hAnsi="Century Gothic" w:cs="Century Gothic"/>
        </w:rPr>
        <w:t xml:space="preserve">En este fallo la Corte Constitucional no realizó un estudio estricto de ponderación de los derechos fundamentales en choque, basado en la teoría de argumentación jurídica del profesor alemán Robert Alexy, vinculada al positivismo metodológico o conceptual y la filosofía analítica. La doctrina precedente de la Corte había tenido adherencia al sistema de ponderación de Alexy, denominado neoconstitucionalismo; corriente que parte de considerar que por debajo de los enunciados constitucionales (derecho positivo) existe una estructura axiológica de valores objetivos. El neoconstitucionalismo –al igual que el derecho natural- adhiera a la tesis monista según la cual, existe un vínculo necesario entre el derecho y la moral en oposición al positivismo metodológico o conceptual que adhiera a la tesis dualista (separación entre derecho y moral). Para el caso en concreto, la Corte se limitó a realizar un estudio del espíritu del legislador en el trámite de la norma que desde el positivismo el legislador quiso advertir la naturaleza constitucional de la norma, y un somero y enunciativo juicio de proporcionalidad, racionalidad y necesidad.  </w:t>
      </w:r>
    </w:p>
    <w:p w:rsidR="00BE3162" w:rsidRDefault="00C00C6D">
      <w:pPr>
        <w:spacing w:after="160" w:line="256" w:lineRule="auto"/>
        <w:ind w:left="720"/>
        <w:jc w:val="both"/>
        <w:rPr>
          <w:rFonts w:ascii="Century Gothic" w:eastAsia="Century Gothic" w:hAnsi="Century Gothic" w:cs="Century Gothic"/>
          <w:i/>
        </w:rPr>
      </w:pPr>
      <w:r>
        <w:rPr>
          <w:rFonts w:ascii="Century Gothic" w:eastAsia="Century Gothic" w:hAnsi="Century Gothic" w:cs="Century Gothic"/>
          <w:i/>
        </w:rPr>
        <w:t xml:space="preserve">La ley de ponderación puede sintetizarse en la siguiente regla: “cuanto mayor sea el grado de no satisfacción o restricción de un </w:t>
      </w:r>
      <w:r>
        <w:rPr>
          <w:rFonts w:ascii="Century Gothic" w:eastAsia="Century Gothic" w:hAnsi="Century Gothic" w:cs="Century Gothic"/>
          <w:i/>
        </w:rPr>
        <w:lastRenderedPageBreak/>
        <w:t>principio, tanto mayor tiene que ser la importancia de la satisfacción del otro”</w:t>
      </w:r>
      <w:r>
        <w:rPr>
          <w:rFonts w:ascii="Century Gothic" w:eastAsia="Century Gothic" w:hAnsi="Century Gothic" w:cs="Century Gothic"/>
          <w:i/>
          <w:vertAlign w:val="superscript"/>
        </w:rPr>
        <w:footnoteReference w:id="1"/>
      </w:r>
      <w:r>
        <w:rPr>
          <w:rFonts w:ascii="Century Gothic" w:eastAsia="Century Gothic" w:hAnsi="Century Gothic" w:cs="Century Gothic"/>
          <w:i/>
        </w:rPr>
        <w:t>.</w:t>
      </w:r>
    </w:p>
    <w:p w:rsidR="00BE3162" w:rsidRDefault="00C00C6D">
      <w:pPr>
        <w:spacing w:after="160" w:line="256" w:lineRule="auto"/>
        <w:jc w:val="both"/>
        <w:rPr>
          <w:rFonts w:ascii="Century Gothic" w:eastAsia="Century Gothic" w:hAnsi="Century Gothic" w:cs="Century Gothic"/>
        </w:rPr>
      </w:pPr>
      <w:r>
        <w:rPr>
          <w:rFonts w:ascii="Century Gothic" w:eastAsia="Century Gothic" w:hAnsi="Century Gothic" w:cs="Century Gothic"/>
        </w:rPr>
        <w:t xml:space="preserve">Sería inadecuado afirmar que la Corte cambió la doctrina de ponderación de Robert Alexy por la de cualquier otro constitucionalista contemporáneo o la postura no positivista de Ronald Dworkin (2002), para quien el positivismo sólo tiene en cuenta las normas jurídicas, y deja sin explicar otros componentes del derecho de gran importancia, como los principios, quien también rechaza asimismo la tesis de la separación entre Moral y Derecho. Es más, la Corte no hace referencia expresa a ninguna corriente o doctrina constitucional, se limita a enunciar las exposiciones de motivos del trámite legislativo y posteriormente a afirmar que:  </w:t>
      </w:r>
    </w:p>
    <w:p w:rsidR="00BE3162" w:rsidRDefault="00C00C6D">
      <w:pPr>
        <w:spacing w:after="160" w:line="256" w:lineRule="auto"/>
        <w:ind w:left="720"/>
        <w:jc w:val="both"/>
        <w:rPr>
          <w:rFonts w:ascii="Century Gothic" w:eastAsia="Century Gothic" w:hAnsi="Century Gothic" w:cs="Century Gothic"/>
          <w:i/>
        </w:rPr>
      </w:pPr>
      <w:r>
        <w:rPr>
          <w:rFonts w:ascii="Century Gothic" w:eastAsia="Century Gothic" w:hAnsi="Century Gothic" w:cs="Century Gothic"/>
          <w:i/>
        </w:rPr>
        <w:t>“Una vez ha sido presentado el contexto normativo en que se encuentran las reglas legales acusadas en el presente proceso, pasa la Sala a analizar el texto de cada una de las normas legales que las contienen”.</w:t>
      </w:r>
    </w:p>
    <w:p w:rsidR="00BE3162" w:rsidRDefault="00C00C6D">
      <w:pPr>
        <w:spacing w:after="160" w:line="256" w:lineRule="auto"/>
        <w:jc w:val="both"/>
        <w:rPr>
          <w:rFonts w:ascii="Century Gothic" w:eastAsia="Century Gothic" w:hAnsi="Century Gothic" w:cs="Century Gothic"/>
        </w:rPr>
      </w:pPr>
      <w:r>
        <w:rPr>
          <w:rFonts w:ascii="Century Gothic" w:eastAsia="Century Gothic" w:hAnsi="Century Gothic" w:cs="Century Gothic"/>
        </w:rPr>
        <w:t xml:space="preserve">El único intento de ponderación de derechos que hace la Corte es que ningún derecho fundamental es absoluto, pero que no sea absoluto, no quiere decir que no pueda protegerlo como absoluto sobre los demás, de la siguiente manera: 6.1.1. (…) No obstante, reconocer que ningún derecho fundamental es absoluto bajo un estado (SIC) social y democrático de derecho no implica, en modo alguno, aceptar que toda limitación que se imponga a un derecho en virtud de la protección de los derechos de los demás, sea razonable y proporcionada constitucionalmente. </w:t>
      </w:r>
    </w:p>
    <w:p w:rsidR="00BE3162" w:rsidRDefault="00C00C6D">
      <w:pPr>
        <w:spacing w:after="160" w:line="256" w:lineRule="auto"/>
        <w:jc w:val="both"/>
        <w:rPr>
          <w:rFonts w:ascii="Century Gothic" w:eastAsia="Century Gothic" w:hAnsi="Century Gothic" w:cs="Century Gothic"/>
        </w:rPr>
      </w:pPr>
      <w:r>
        <w:rPr>
          <w:rFonts w:ascii="Century Gothic" w:eastAsia="Century Gothic" w:hAnsi="Century Gothic" w:cs="Century Gothic"/>
        </w:rPr>
        <w:t xml:space="preserve">Posteriormente la Corte afirma que de acuerdo con los accionantes en el presente caso la dignidad humana estaría comprometida por cuenta de las reglas legales acusadas, afectando así el libre desarrollo de la personalidad que garantiza la autonomía a toda persona y que en ese orden de ideas, “las personas no podrían vivir como quieren”, discriminandolos y excluyéndose. </w:t>
      </w:r>
    </w:p>
    <w:p w:rsidR="00BE3162" w:rsidRDefault="00C00C6D">
      <w:pPr>
        <w:spacing w:after="160" w:line="256" w:lineRule="auto"/>
        <w:jc w:val="both"/>
        <w:rPr>
          <w:rFonts w:ascii="Century Gothic" w:eastAsia="Century Gothic" w:hAnsi="Century Gothic" w:cs="Century Gothic"/>
        </w:rPr>
      </w:pPr>
      <w:r>
        <w:rPr>
          <w:rFonts w:ascii="Century Gothic" w:eastAsia="Century Gothic" w:hAnsi="Century Gothic" w:cs="Century Gothic"/>
        </w:rPr>
        <w:t xml:space="preserve">También dice la Corte que las normas acusadas entran en tensión con derechos como la libertad de conciencia y religiosa “a sujetos de especial protección como personas afectadas en su salud, minorías étnicas y culturales, o habitantes de la calle, o los derechos de autogobierno y autonomía territorial”.Pero no se pregunta la Corte si los habitantes de calle en realidad quieren estar así, o si sus vidas son consecuencia lógica del </w:t>
      </w:r>
      <w:r>
        <w:rPr>
          <w:rFonts w:ascii="Century Gothic" w:eastAsia="Century Gothic" w:hAnsi="Century Gothic" w:cs="Century Gothic"/>
        </w:rPr>
        <w:lastRenderedPageBreak/>
        <w:t xml:space="preserve">consumo de alucinógenos, en tensión con derecho a la salud y a la vida, este último de carácter absoluto. </w:t>
      </w:r>
    </w:p>
    <w:p w:rsidR="00BE3162" w:rsidRDefault="00C00C6D">
      <w:pPr>
        <w:spacing w:after="160" w:line="256" w:lineRule="auto"/>
        <w:jc w:val="both"/>
        <w:rPr>
          <w:rFonts w:ascii="Century Gothic" w:eastAsia="Century Gothic" w:hAnsi="Century Gothic" w:cs="Century Gothic"/>
        </w:rPr>
      </w:pPr>
      <w:r>
        <w:rPr>
          <w:rFonts w:ascii="Century Gothic" w:eastAsia="Century Gothic" w:hAnsi="Century Gothic" w:cs="Century Gothic"/>
        </w:rPr>
        <w:t>La Corte Constitucional en este fallo contradice su propia jurisprudencia sobre uso de dosis personal, en especial la Sentencia 221 de 1994, M.P. Carlos Gaviria: En ese mismo orden de ideas puede el legislador válidamente, sin vulnerar el núcleo esencial de los derechos a la igualdad y a la libertad, desconocidos por las disposiciones que serán retiradas del ordenamiento, regular las circunstancias de lugar, de edad, de ejercicio temporal de actividades, y otras análogas, dentro de las cuales el consumo de droga resulte inadecuado o socialmente nocivo, como sucede en la actualidad con el alcohol y el tabaco. Es ésa, materia propia de las normas de policía. Otro tanto cabe predicar de quienes tienen a su cargo la dirección de actividades de instituciones, públicas o privadas, quienes derivan de esa calidad la competencia de dictar reglamentos internos que posibiliten la convivencia ordenada, dentro de los ámbitos que les incumbe regir</w:t>
      </w:r>
      <w:r>
        <w:rPr>
          <w:rFonts w:ascii="Century Gothic" w:eastAsia="Century Gothic" w:hAnsi="Century Gothic" w:cs="Century Gothic"/>
          <w:vertAlign w:val="superscript"/>
        </w:rPr>
        <w:footnoteReference w:id="2"/>
      </w:r>
      <w:r>
        <w:rPr>
          <w:rFonts w:ascii="Century Gothic" w:eastAsia="Century Gothic" w:hAnsi="Century Gothic" w:cs="Century Gothic"/>
        </w:rPr>
        <w:t>.</w:t>
      </w:r>
    </w:p>
    <w:p w:rsidR="00BE3162" w:rsidRDefault="00C00C6D">
      <w:pPr>
        <w:spacing w:after="160" w:line="256" w:lineRule="auto"/>
        <w:jc w:val="both"/>
        <w:rPr>
          <w:rFonts w:ascii="Century Gothic" w:eastAsia="Century Gothic" w:hAnsi="Century Gothic" w:cs="Century Gothic"/>
        </w:rPr>
      </w:pPr>
      <w:r>
        <w:rPr>
          <w:rFonts w:ascii="Century Gothic" w:eastAsia="Century Gothic" w:hAnsi="Century Gothic" w:cs="Century Gothic"/>
        </w:rPr>
        <w:t xml:space="preserve">¿Entonces podría decirse que en virtud del libre desarrollo de la personalidad, se puede fumar en espacios cerrados, o conducir en estado de embriaguez? Según el pronunciamiento de la Corte sí, dado que entre tanto no se produzca un resultado lesivo para los derechos de los demás, se pueden ejercer dichas actividades. </w:t>
      </w:r>
    </w:p>
    <w:p w:rsidR="00BE3162" w:rsidRDefault="00C00C6D">
      <w:pPr>
        <w:spacing w:after="160" w:line="256" w:lineRule="auto"/>
        <w:jc w:val="both"/>
        <w:rPr>
          <w:rFonts w:ascii="Century Gothic" w:eastAsia="Century Gothic" w:hAnsi="Century Gothic" w:cs="Century Gothic"/>
        </w:rPr>
      </w:pPr>
      <w:r>
        <w:rPr>
          <w:rFonts w:ascii="Century Gothic" w:eastAsia="Century Gothic" w:hAnsi="Century Gothic" w:cs="Century Gothic"/>
        </w:rPr>
        <w:t xml:space="preserve">Para la Corte cualquier tipo de consumo de bebidas o sustancias no implica necesariamente, una afectación de los fines que se busca proteger como la afectación de la tranquilidad como consecuencia de las riñas, por el contrario para la Corte “la evidencia y el sentido común parecen sugerir lo contrario”.   Esto es que el consumo de sustancias hace que la gente sea más pacífica. (Numeral 6.2.3.1) </w:t>
      </w:r>
    </w:p>
    <w:p w:rsidR="00BE3162" w:rsidRDefault="00C00C6D">
      <w:pPr>
        <w:spacing w:after="160" w:line="256" w:lineRule="auto"/>
        <w:jc w:val="both"/>
        <w:rPr>
          <w:rFonts w:ascii="Century Gothic" w:eastAsia="Century Gothic" w:hAnsi="Century Gothic" w:cs="Century Gothic"/>
        </w:rPr>
      </w:pPr>
      <w:r>
        <w:rPr>
          <w:rFonts w:ascii="Century Gothic" w:eastAsia="Century Gothic" w:hAnsi="Century Gothic" w:cs="Century Gothic"/>
        </w:rPr>
        <w:t xml:space="preserve">Así las cosas, la Sentencia 253 de 2019, carece categóricamente de alguna doctrina constitucional aceptada, la hermenéutica jurídica conocida como proporcionalidad, racionalidad y necesidad, se encuentran en desuso por su subjetividad, dentro del neoconstitucionalismo. Es un fallo desacertado dado que no respeta el precedente jurisprudencial sobre afirmar que el libre desarrollo de la personalidad no es un derecho absoluto, dado que para la Corte es desproporcionado afirmar que el consumo de licor y sustancias psicoactivas en parques y espacios públicos vulneran la tranquilidad y las relaciones respetuosas. </w:t>
      </w:r>
    </w:p>
    <w:p w:rsidR="00BE3162" w:rsidRDefault="00C00C6D">
      <w:pPr>
        <w:spacing w:after="160" w:line="256" w:lineRule="auto"/>
        <w:jc w:val="both"/>
        <w:rPr>
          <w:rFonts w:ascii="Century Gothic" w:eastAsia="Century Gothic" w:hAnsi="Century Gothic" w:cs="Century Gothic"/>
        </w:rPr>
      </w:pPr>
      <w:r>
        <w:rPr>
          <w:rFonts w:ascii="Century Gothic" w:eastAsia="Century Gothic" w:hAnsi="Century Gothic" w:cs="Century Gothic"/>
        </w:rPr>
        <w:lastRenderedPageBreak/>
        <w:t>Uno de los argumentos de este histórico fallo de la Corte para soportar la decisión, es que cuando las amigas consumen empanadas y cerveza en horario laboral en los parques se quedan dormidas y por eso no son peligrosas, así: Tal es el caso de un par de personas amigas que una tarde, mientras hacen diligencias, paran sus labores para comerse una empanada con un par de cervezas en un parque. Hay personas a las que el consumo de bebidas alcohólicas, incluso excesivas, puede llevarla (SIC) a dormirse o quedarse sin mayor movilidad, pero nunca a estar en condiciones de actividad, y mucho menos a tener fuerzas para atacar a los demás o afectar la tranquilidad o las relaciones respetuosas.</w:t>
      </w:r>
    </w:p>
    <w:p w:rsidR="00BE3162" w:rsidRPr="00407762" w:rsidRDefault="00C00C6D" w:rsidP="00407762">
      <w:pPr>
        <w:pStyle w:val="Prrafodelista"/>
        <w:numPr>
          <w:ilvl w:val="0"/>
          <w:numId w:val="2"/>
        </w:numPr>
        <w:spacing w:after="160" w:line="256" w:lineRule="auto"/>
        <w:jc w:val="both"/>
        <w:rPr>
          <w:rFonts w:ascii="Century Gothic" w:eastAsia="Century Gothic" w:hAnsi="Century Gothic" w:cs="Century Gothic"/>
          <w:b/>
        </w:rPr>
      </w:pPr>
      <w:r w:rsidRPr="00407762">
        <w:rPr>
          <w:rFonts w:ascii="Century Gothic" w:eastAsia="Century Gothic" w:hAnsi="Century Gothic" w:cs="Century Gothic"/>
          <w:b/>
        </w:rPr>
        <w:t>LEY DE PONDERACIÓN Y FÓRMULA DE PESO:</w:t>
      </w:r>
    </w:p>
    <w:p w:rsidR="00BE3162" w:rsidRDefault="00C00C6D">
      <w:pPr>
        <w:spacing w:after="160" w:line="256" w:lineRule="auto"/>
        <w:jc w:val="both"/>
        <w:rPr>
          <w:rFonts w:ascii="Century Gothic" w:eastAsia="Century Gothic" w:hAnsi="Century Gothic" w:cs="Century Gothic"/>
        </w:rPr>
      </w:pPr>
      <w:r>
        <w:rPr>
          <w:rFonts w:ascii="Century Gothic" w:eastAsia="Century Gothic" w:hAnsi="Century Gothic" w:cs="Century Gothic"/>
        </w:rPr>
        <w:t xml:space="preserve">La ponderación es un método para resolver conflictos entre principios o derechos. </w:t>
      </w:r>
    </w:p>
    <w:p w:rsidR="00E10A6D" w:rsidRPr="007861DF" w:rsidRDefault="00C00C6D">
      <w:pPr>
        <w:spacing w:after="160" w:line="256" w:lineRule="auto"/>
        <w:jc w:val="both"/>
        <w:rPr>
          <w:rFonts w:ascii="Century Gothic" w:eastAsia="Century Gothic" w:hAnsi="Century Gothic" w:cs="Century Gothic"/>
        </w:rPr>
      </w:pPr>
      <w:r>
        <w:rPr>
          <w:rFonts w:ascii="Century Gothic" w:eastAsia="Century Gothic" w:hAnsi="Century Gothic" w:cs="Century Gothic"/>
        </w:rPr>
        <w:t xml:space="preserve">Con la finalidad de evitar juicios subjetivos sobre la ponderación de derechos, a </w:t>
      </w:r>
      <w:r w:rsidR="007861DF">
        <w:rPr>
          <w:rFonts w:ascii="Century Gothic" w:eastAsia="Century Gothic" w:hAnsi="Century Gothic" w:cs="Century Gothic"/>
        </w:rPr>
        <w:t>continuación,</w:t>
      </w:r>
      <w:r>
        <w:rPr>
          <w:rFonts w:ascii="Century Gothic" w:eastAsia="Century Gothic" w:hAnsi="Century Gothic" w:cs="Century Gothic"/>
        </w:rPr>
        <w:t xml:space="preserve"> se realiza el análisis de colisión de estos, con base en la ley de ponderación y fórmula de peso del doctrinante neoconstitucionalista Robert Alexy: </w:t>
      </w:r>
    </w:p>
    <w:p w:rsidR="00E10A6D" w:rsidRPr="00E10A6D" w:rsidRDefault="00E10A6D">
      <w:pPr>
        <w:spacing w:after="160" w:line="256" w:lineRule="auto"/>
        <w:jc w:val="both"/>
        <w:rPr>
          <w:rFonts w:ascii="Century Gothic" w:eastAsia="Century Gothic" w:hAnsi="Century Gothic" w:cs="Century Gothic"/>
          <w:b/>
          <w:bCs/>
        </w:rPr>
      </w:pPr>
      <w:r w:rsidRPr="00E10A6D">
        <w:rPr>
          <w:rFonts w:ascii="Century Gothic" w:eastAsia="Century Gothic" w:hAnsi="Century Gothic" w:cs="Century Gothic"/>
          <w:b/>
          <w:bCs/>
        </w:rPr>
        <w:t>DENOMINACIÓN:</w:t>
      </w:r>
    </w:p>
    <w:p w:rsidR="00BE3162" w:rsidRDefault="00C00C6D">
      <w:pPr>
        <w:spacing w:after="160" w:line="256" w:lineRule="auto"/>
        <w:ind w:left="720"/>
        <w:jc w:val="both"/>
        <w:rPr>
          <w:rFonts w:ascii="Century Gothic" w:eastAsia="Century Gothic" w:hAnsi="Century Gothic" w:cs="Century Gothic"/>
        </w:rPr>
      </w:pPr>
      <w:r>
        <w:rPr>
          <w:rFonts w:ascii="Century Gothic" w:eastAsia="Century Gothic" w:hAnsi="Century Gothic" w:cs="Century Gothic"/>
          <w:b/>
        </w:rPr>
        <w:t xml:space="preserve">P: </w:t>
      </w:r>
      <w:r>
        <w:rPr>
          <w:rFonts w:ascii="Century Gothic" w:eastAsia="Century Gothic" w:hAnsi="Century Gothic" w:cs="Century Gothic"/>
        </w:rPr>
        <w:t>Principio</w:t>
      </w:r>
    </w:p>
    <w:p w:rsidR="00BE3162" w:rsidRDefault="00C00C6D">
      <w:pPr>
        <w:spacing w:after="160" w:line="256" w:lineRule="auto"/>
        <w:ind w:left="720"/>
        <w:jc w:val="both"/>
        <w:rPr>
          <w:rFonts w:ascii="Century Gothic" w:eastAsia="Century Gothic" w:hAnsi="Century Gothic" w:cs="Century Gothic"/>
        </w:rPr>
      </w:pPr>
      <w:r>
        <w:rPr>
          <w:rFonts w:ascii="Century Gothic" w:eastAsia="Century Gothic" w:hAnsi="Century Gothic" w:cs="Century Gothic"/>
          <w:b/>
        </w:rPr>
        <w:t xml:space="preserve">PC: </w:t>
      </w:r>
      <w:r>
        <w:rPr>
          <w:rFonts w:ascii="Century Gothic" w:eastAsia="Century Gothic" w:hAnsi="Century Gothic" w:cs="Century Gothic"/>
        </w:rPr>
        <w:t xml:space="preserve">Peso Concreto, el cual es el grado de afectación actual que está presentando el principio. </w:t>
      </w:r>
    </w:p>
    <w:p w:rsidR="00BE3162" w:rsidRDefault="00C00C6D">
      <w:pPr>
        <w:spacing w:after="160" w:line="256" w:lineRule="auto"/>
        <w:ind w:left="720"/>
        <w:jc w:val="both"/>
        <w:rPr>
          <w:rFonts w:ascii="Century Gothic" w:eastAsia="Century Gothic" w:hAnsi="Century Gothic" w:cs="Century Gothic"/>
        </w:rPr>
      </w:pPr>
      <w:r>
        <w:rPr>
          <w:rFonts w:ascii="Century Gothic" w:eastAsia="Century Gothic" w:hAnsi="Century Gothic" w:cs="Century Gothic"/>
          <w:b/>
        </w:rPr>
        <w:t>PA:</w:t>
      </w:r>
      <w:r>
        <w:rPr>
          <w:rFonts w:ascii="Century Gothic" w:eastAsia="Century Gothic" w:hAnsi="Century Gothic" w:cs="Century Gothic"/>
        </w:rPr>
        <w:t xml:space="preserve"> Peso Abstracto, le corresponde la importancia respecto al derecho o principio.</w:t>
      </w:r>
    </w:p>
    <w:p w:rsidR="00BE3162" w:rsidRDefault="00C00C6D">
      <w:pPr>
        <w:spacing w:after="160" w:line="256" w:lineRule="auto"/>
        <w:ind w:left="720"/>
        <w:jc w:val="both"/>
        <w:rPr>
          <w:rFonts w:ascii="Century Gothic" w:eastAsia="Century Gothic" w:hAnsi="Century Gothic" w:cs="Century Gothic"/>
        </w:rPr>
      </w:pPr>
      <w:r>
        <w:rPr>
          <w:rFonts w:ascii="Century Gothic" w:eastAsia="Century Gothic" w:hAnsi="Century Gothic" w:cs="Century Gothic"/>
        </w:rPr>
        <w:t>Los anteriores se miden de la siguiente manera:</w:t>
      </w:r>
    </w:p>
    <w:p w:rsidR="00BE3162" w:rsidRDefault="00C00C6D">
      <w:pPr>
        <w:spacing w:after="160" w:line="256" w:lineRule="auto"/>
        <w:ind w:left="720"/>
        <w:jc w:val="both"/>
        <w:rPr>
          <w:rFonts w:ascii="Century Gothic" w:eastAsia="Century Gothic" w:hAnsi="Century Gothic" w:cs="Century Gothic"/>
        </w:rPr>
      </w:pPr>
      <w:r>
        <w:rPr>
          <w:rFonts w:ascii="Century Gothic" w:eastAsia="Century Gothic" w:hAnsi="Century Gothic" w:cs="Century Gothic"/>
          <w:b/>
        </w:rPr>
        <w:t>Leve =</w:t>
      </w:r>
      <w:r>
        <w:rPr>
          <w:rFonts w:ascii="Century Gothic" w:eastAsia="Century Gothic" w:hAnsi="Century Gothic" w:cs="Century Gothic"/>
        </w:rPr>
        <w:t xml:space="preserve"> 1</w:t>
      </w:r>
    </w:p>
    <w:p w:rsidR="00BE3162" w:rsidRDefault="00C00C6D">
      <w:pPr>
        <w:spacing w:after="160" w:line="256" w:lineRule="auto"/>
        <w:ind w:left="720"/>
        <w:jc w:val="both"/>
        <w:rPr>
          <w:rFonts w:ascii="Century Gothic" w:eastAsia="Century Gothic" w:hAnsi="Century Gothic" w:cs="Century Gothic"/>
        </w:rPr>
      </w:pPr>
      <w:r>
        <w:rPr>
          <w:rFonts w:ascii="Century Gothic" w:eastAsia="Century Gothic" w:hAnsi="Century Gothic" w:cs="Century Gothic"/>
          <w:b/>
        </w:rPr>
        <w:t>Media =</w:t>
      </w:r>
      <w:r>
        <w:rPr>
          <w:rFonts w:ascii="Century Gothic" w:eastAsia="Century Gothic" w:hAnsi="Century Gothic" w:cs="Century Gothic"/>
        </w:rPr>
        <w:t xml:space="preserve"> 2</w:t>
      </w:r>
    </w:p>
    <w:p w:rsidR="00BE3162" w:rsidRDefault="00C00C6D">
      <w:pPr>
        <w:spacing w:after="160" w:line="256" w:lineRule="auto"/>
        <w:ind w:left="720"/>
        <w:jc w:val="both"/>
        <w:rPr>
          <w:rFonts w:ascii="Century Gothic" w:eastAsia="Century Gothic" w:hAnsi="Century Gothic" w:cs="Century Gothic"/>
        </w:rPr>
      </w:pPr>
      <w:r>
        <w:rPr>
          <w:rFonts w:ascii="Century Gothic" w:eastAsia="Century Gothic" w:hAnsi="Century Gothic" w:cs="Century Gothic"/>
          <w:b/>
        </w:rPr>
        <w:t>Intensa =</w:t>
      </w:r>
      <w:r>
        <w:rPr>
          <w:rFonts w:ascii="Century Gothic" w:eastAsia="Century Gothic" w:hAnsi="Century Gothic" w:cs="Century Gothic"/>
        </w:rPr>
        <w:t xml:space="preserve"> 4</w:t>
      </w:r>
    </w:p>
    <w:p w:rsidR="00E10A6D" w:rsidRPr="007861DF" w:rsidRDefault="00C00C6D" w:rsidP="007861DF">
      <w:pPr>
        <w:spacing w:after="160" w:line="256" w:lineRule="auto"/>
        <w:ind w:left="720"/>
        <w:jc w:val="both"/>
        <w:rPr>
          <w:rFonts w:ascii="Century Gothic" w:eastAsia="Century Gothic" w:hAnsi="Century Gothic" w:cs="Century Gothic"/>
        </w:rPr>
      </w:pPr>
      <w:r>
        <w:rPr>
          <w:rFonts w:ascii="Century Gothic" w:eastAsia="Century Gothic" w:hAnsi="Century Gothic" w:cs="Century Gothic"/>
          <w:b/>
        </w:rPr>
        <w:t xml:space="preserve">PS: </w:t>
      </w:r>
      <w:r>
        <w:rPr>
          <w:rFonts w:ascii="Century Gothic" w:eastAsia="Century Gothic" w:hAnsi="Century Gothic" w:cs="Century Gothic"/>
        </w:rPr>
        <w:t xml:space="preserve">Peso Empírico, es el grado de afectación futura con la implementación de la medida propuesta. </w:t>
      </w:r>
    </w:p>
    <w:p w:rsidR="00BE3162" w:rsidRPr="00E10A6D" w:rsidRDefault="00E10A6D" w:rsidP="00407762">
      <w:pPr>
        <w:spacing w:after="160" w:line="256" w:lineRule="auto"/>
        <w:jc w:val="both"/>
        <w:rPr>
          <w:rFonts w:ascii="Century Gothic" w:eastAsia="Century Gothic" w:hAnsi="Century Gothic" w:cs="Century Gothic"/>
          <w:b/>
          <w:bCs/>
        </w:rPr>
      </w:pPr>
      <w:r w:rsidRPr="00E10A6D">
        <w:rPr>
          <w:rFonts w:ascii="Century Gothic" w:eastAsia="Century Gothic" w:hAnsi="Century Gothic" w:cs="Century Gothic"/>
          <w:b/>
          <w:bCs/>
        </w:rPr>
        <w:t>MEDICIÓN:</w:t>
      </w:r>
    </w:p>
    <w:p w:rsidR="00BE3162" w:rsidRPr="00E10A6D" w:rsidRDefault="00C00C6D">
      <w:pPr>
        <w:spacing w:after="160" w:line="256" w:lineRule="auto"/>
        <w:ind w:left="720"/>
        <w:jc w:val="both"/>
        <w:rPr>
          <w:rFonts w:ascii="Century Gothic" w:eastAsia="Century Gothic" w:hAnsi="Century Gothic" w:cs="Century Gothic"/>
          <w:bCs/>
        </w:rPr>
      </w:pPr>
      <w:r w:rsidRPr="00E10A6D">
        <w:rPr>
          <w:rFonts w:ascii="Century Gothic" w:eastAsia="Century Gothic" w:hAnsi="Century Gothic" w:cs="Century Gothic"/>
          <w:b/>
        </w:rPr>
        <w:t>Improbable</w:t>
      </w:r>
      <w:r w:rsidRPr="00E10A6D">
        <w:rPr>
          <w:rFonts w:ascii="Century Gothic" w:eastAsia="Century Gothic" w:hAnsi="Century Gothic" w:cs="Century Gothic"/>
          <w:bCs/>
        </w:rPr>
        <w:t xml:space="preserve"> (1/4) = 0.25</w:t>
      </w:r>
    </w:p>
    <w:p w:rsidR="00BE3162" w:rsidRPr="00E10A6D" w:rsidRDefault="00C00C6D">
      <w:pPr>
        <w:spacing w:after="160" w:line="256" w:lineRule="auto"/>
        <w:ind w:left="720"/>
        <w:jc w:val="both"/>
        <w:rPr>
          <w:rFonts w:ascii="Century Gothic" w:eastAsia="Century Gothic" w:hAnsi="Century Gothic" w:cs="Century Gothic"/>
          <w:bCs/>
        </w:rPr>
      </w:pPr>
      <w:r w:rsidRPr="00E10A6D">
        <w:rPr>
          <w:rFonts w:ascii="Century Gothic" w:eastAsia="Century Gothic" w:hAnsi="Century Gothic" w:cs="Century Gothic"/>
          <w:b/>
        </w:rPr>
        <w:t>Plausible</w:t>
      </w:r>
      <w:r w:rsidRPr="00E10A6D">
        <w:rPr>
          <w:rFonts w:ascii="Century Gothic" w:eastAsia="Century Gothic" w:hAnsi="Century Gothic" w:cs="Century Gothic"/>
          <w:bCs/>
        </w:rPr>
        <w:t xml:space="preserve"> (1/2) = 0.5</w:t>
      </w:r>
    </w:p>
    <w:p w:rsidR="00E10A6D" w:rsidRPr="007861DF" w:rsidRDefault="00C00C6D" w:rsidP="007861DF">
      <w:pPr>
        <w:spacing w:after="160" w:line="256" w:lineRule="auto"/>
        <w:ind w:left="720"/>
        <w:jc w:val="both"/>
        <w:rPr>
          <w:rFonts w:ascii="Century Gothic" w:eastAsia="Century Gothic" w:hAnsi="Century Gothic" w:cs="Century Gothic"/>
          <w:bCs/>
        </w:rPr>
      </w:pPr>
      <w:r w:rsidRPr="00E10A6D">
        <w:rPr>
          <w:rFonts w:ascii="Century Gothic" w:eastAsia="Century Gothic" w:hAnsi="Century Gothic" w:cs="Century Gothic"/>
          <w:b/>
        </w:rPr>
        <w:t>Segura</w:t>
      </w:r>
      <w:r w:rsidRPr="00E10A6D">
        <w:rPr>
          <w:rFonts w:ascii="Century Gothic" w:eastAsia="Century Gothic" w:hAnsi="Century Gothic" w:cs="Century Gothic"/>
          <w:bCs/>
        </w:rPr>
        <w:t xml:space="preserve"> (1) = 1</w:t>
      </w:r>
    </w:p>
    <w:p w:rsidR="00E10A6D" w:rsidRPr="00407762" w:rsidRDefault="00C00C6D">
      <w:pPr>
        <w:spacing w:after="160" w:line="256" w:lineRule="auto"/>
        <w:jc w:val="both"/>
        <w:rPr>
          <w:rFonts w:ascii="Century Gothic" w:eastAsia="Century Gothic" w:hAnsi="Century Gothic" w:cs="Century Gothic"/>
          <w:b/>
        </w:rPr>
      </w:pPr>
      <w:r>
        <w:rPr>
          <w:rFonts w:ascii="Century Gothic" w:eastAsia="Century Gothic" w:hAnsi="Century Gothic" w:cs="Century Gothic"/>
          <w:b/>
        </w:rPr>
        <w:lastRenderedPageBreak/>
        <w:t xml:space="preserve">FÓRMULAS: </w:t>
      </w:r>
    </w:p>
    <w:p w:rsidR="00BE3162" w:rsidRPr="00E10A6D" w:rsidRDefault="00E10A6D" w:rsidP="00E10A6D">
      <w:pPr>
        <w:rPr>
          <w:lang w:val="en-US"/>
        </w:rPr>
      </w:pPr>
      <w:r w:rsidRPr="00BC0C1F">
        <w:rPr>
          <w:sz w:val="32"/>
        </w:rPr>
        <w:t xml:space="preserve">       </w:t>
      </w:r>
      <w:r w:rsidRPr="00E10A6D">
        <w:rPr>
          <w:sz w:val="32"/>
          <w:lang w:val="en-US"/>
        </w:rPr>
        <w:t>P</w:t>
      </w:r>
      <w:r w:rsidRPr="00E10A6D">
        <w:rPr>
          <w:sz w:val="32"/>
          <w:vertAlign w:val="subscript"/>
          <w:lang w:val="en-US"/>
        </w:rPr>
        <w:t>1</w:t>
      </w:r>
      <w:r w:rsidRPr="00E10A6D">
        <w:rPr>
          <w:sz w:val="32"/>
          <w:lang w:val="en-US"/>
        </w:rPr>
        <w:t>P</w:t>
      </w:r>
      <w:r w:rsidRPr="00E10A6D">
        <w:rPr>
          <w:sz w:val="32"/>
          <w:vertAlign w:val="subscript"/>
          <w:lang w:val="en-US"/>
        </w:rPr>
        <w:t xml:space="preserve">2 = </w:t>
      </w:r>
      <m:oMath>
        <m:f>
          <m:fPr>
            <m:ctrlPr>
              <w:rPr>
                <w:rFonts w:ascii="Cambria Math" w:hAnsi="Cambria Math"/>
                <w:i/>
                <w:sz w:val="32"/>
                <w:vertAlign w:val="subscript"/>
              </w:rPr>
            </m:ctrlPr>
          </m:fPr>
          <m:num>
            <m:r>
              <w:rPr>
                <w:rFonts w:ascii="Cambria Math" w:hAnsi="Cambria Math"/>
                <w:sz w:val="32"/>
                <w:vertAlign w:val="subscript"/>
              </w:rPr>
              <m:t>PCP</m:t>
            </m:r>
            <m:r>
              <w:rPr>
                <w:rFonts w:ascii="Cambria Math" w:hAnsi="Cambria Math"/>
                <w:sz w:val="32"/>
                <w:vertAlign w:val="subscript"/>
                <w:lang w:val="en-US"/>
              </w:rPr>
              <m:t>1*</m:t>
            </m:r>
            <m:r>
              <w:rPr>
                <w:rFonts w:ascii="Cambria Math" w:hAnsi="Cambria Math"/>
                <w:sz w:val="32"/>
                <w:vertAlign w:val="subscript"/>
              </w:rPr>
              <m:t>PAP</m:t>
            </m:r>
            <m:r>
              <w:rPr>
                <w:rFonts w:ascii="Cambria Math" w:hAnsi="Cambria Math"/>
                <w:sz w:val="32"/>
                <w:vertAlign w:val="subscript"/>
                <w:lang w:val="en-US"/>
              </w:rPr>
              <m:t>1*</m:t>
            </m:r>
            <m:r>
              <w:rPr>
                <w:rFonts w:ascii="Cambria Math" w:hAnsi="Cambria Math"/>
                <w:sz w:val="32"/>
                <w:vertAlign w:val="subscript"/>
              </w:rPr>
              <m:t>PSP</m:t>
            </m:r>
            <m:r>
              <w:rPr>
                <w:rFonts w:ascii="Cambria Math" w:hAnsi="Cambria Math"/>
                <w:sz w:val="32"/>
                <w:vertAlign w:val="subscript"/>
                <w:lang w:val="en-US"/>
              </w:rPr>
              <m:t>1</m:t>
            </m:r>
          </m:num>
          <m:den>
            <m:r>
              <w:rPr>
                <w:rFonts w:ascii="Cambria Math" w:hAnsi="Cambria Math"/>
                <w:sz w:val="32"/>
                <w:vertAlign w:val="subscript"/>
              </w:rPr>
              <m:t>PCP</m:t>
            </m:r>
            <m:r>
              <w:rPr>
                <w:rFonts w:ascii="Cambria Math" w:hAnsi="Cambria Math"/>
                <w:sz w:val="32"/>
                <w:vertAlign w:val="subscript"/>
                <w:lang w:val="en-US"/>
              </w:rPr>
              <m:t>2*</m:t>
            </m:r>
            <m:r>
              <w:rPr>
                <w:rFonts w:ascii="Cambria Math" w:hAnsi="Cambria Math"/>
                <w:sz w:val="32"/>
                <w:vertAlign w:val="subscript"/>
              </w:rPr>
              <m:t>PAP</m:t>
            </m:r>
            <m:r>
              <w:rPr>
                <w:rFonts w:ascii="Cambria Math" w:hAnsi="Cambria Math"/>
                <w:sz w:val="32"/>
                <w:vertAlign w:val="subscript"/>
                <w:lang w:val="en-US"/>
              </w:rPr>
              <m:t>2*</m:t>
            </m:r>
            <m:r>
              <w:rPr>
                <w:rFonts w:ascii="Cambria Math" w:hAnsi="Cambria Math"/>
                <w:sz w:val="32"/>
                <w:vertAlign w:val="subscript"/>
              </w:rPr>
              <m:t>PSP</m:t>
            </m:r>
            <m:r>
              <w:rPr>
                <w:rFonts w:ascii="Cambria Math" w:hAnsi="Cambria Math"/>
                <w:sz w:val="32"/>
                <w:vertAlign w:val="subscript"/>
                <w:lang w:val="en-US"/>
              </w:rPr>
              <m:t>2</m:t>
            </m:r>
          </m:den>
        </m:f>
      </m:oMath>
      <w:r w:rsidRPr="00E10A6D">
        <w:rPr>
          <w:rFonts w:eastAsiaTheme="minorEastAsia"/>
          <w:sz w:val="32"/>
          <w:vertAlign w:val="subscript"/>
          <w:lang w:val="en-US"/>
        </w:rPr>
        <w:t xml:space="preserve">                                                </w:t>
      </w:r>
      <w:r w:rsidRPr="00E10A6D">
        <w:rPr>
          <w:sz w:val="32"/>
          <w:lang w:val="en-US"/>
        </w:rPr>
        <w:t>P</w:t>
      </w:r>
      <w:r w:rsidRPr="00E10A6D">
        <w:rPr>
          <w:sz w:val="32"/>
          <w:vertAlign w:val="subscript"/>
          <w:lang w:val="en-US"/>
        </w:rPr>
        <w:t>2</w:t>
      </w:r>
      <w:r w:rsidRPr="00E10A6D">
        <w:rPr>
          <w:sz w:val="32"/>
          <w:lang w:val="en-US"/>
        </w:rPr>
        <w:t>P</w:t>
      </w:r>
      <w:r w:rsidRPr="00E10A6D">
        <w:rPr>
          <w:sz w:val="32"/>
          <w:vertAlign w:val="subscript"/>
          <w:lang w:val="en-US"/>
        </w:rPr>
        <w:t xml:space="preserve">1 = </w:t>
      </w:r>
      <m:oMath>
        <m:f>
          <m:fPr>
            <m:ctrlPr>
              <w:rPr>
                <w:rFonts w:ascii="Cambria Math" w:hAnsi="Cambria Math"/>
                <w:i/>
                <w:sz w:val="32"/>
                <w:vertAlign w:val="subscript"/>
              </w:rPr>
            </m:ctrlPr>
          </m:fPr>
          <m:num>
            <m:r>
              <w:rPr>
                <w:rFonts w:ascii="Cambria Math" w:hAnsi="Cambria Math"/>
                <w:sz w:val="32"/>
                <w:vertAlign w:val="subscript"/>
              </w:rPr>
              <m:t>PCP</m:t>
            </m:r>
            <m:r>
              <w:rPr>
                <w:rFonts w:ascii="Cambria Math" w:hAnsi="Cambria Math"/>
                <w:sz w:val="32"/>
                <w:vertAlign w:val="subscript"/>
                <w:lang w:val="en-US"/>
              </w:rPr>
              <m:t>2*</m:t>
            </m:r>
            <m:r>
              <w:rPr>
                <w:rFonts w:ascii="Cambria Math" w:hAnsi="Cambria Math"/>
                <w:sz w:val="32"/>
                <w:vertAlign w:val="subscript"/>
              </w:rPr>
              <m:t>PAP</m:t>
            </m:r>
            <m:r>
              <w:rPr>
                <w:rFonts w:ascii="Cambria Math" w:hAnsi="Cambria Math"/>
                <w:sz w:val="32"/>
                <w:vertAlign w:val="subscript"/>
                <w:lang w:val="en-US"/>
              </w:rPr>
              <m:t>2*</m:t>
            </m:r>
            <m:r>
              <w:rPr>
                <w:rFonts w:ascii="Cambria Math" w:hAnsi="Cambria Math"/>
                <w:sz w:val="32"/>
                <w:vertAlign w:val="subscript"/>
              </w:rPr>
              <m:t>PSP</m:t>
            </m:r>
            <m:r>
              <w:rPr>
                <w:rFonts w:ascii="Cambria Math" w:hAnsi="Cambria Math"/>
                <w:sz w:val="32"/>
                <w:vertAlign w:val="subscript"/>
                <w:lang w:val="en-US"/>
              </w:rPr>
              <m:t>2</m:t>
            </m:r>
          </m:num>
          <m:den>
            <m:r>
              <w:rPr>
                <w:rFonts w:ascii="Cambria Math" w:hAnsi="Cambria Math"/>
                <w:sz w:val="32"/>
                <w:vertAlign w:val="subscript"/>
              </w:rPr>
              <m:t>PCP</m:t>
            </m:r>
            <m:r>
              <w:rPr>
                <w:rFonts w:ascii="Cambria Math" w:hAnsi="Cambria Math"/>
                <w:sz w:val="32"/>
                <w:vertAlign w:val="subscript"/>
                <w:lang w:val="en-US"/>
              </w:rPr>
              <m:t>1*</m:t>
            </m:r>
            <m:r>
              <w:rPr>
                <w:rFonts w:ascii="Cambria Math" w:hAnsi="Cambria Math"/>
                <w:sz w:val="32"/>
                <w:vertAlign w:val="subscript"/>
              </w:rPr>
              <m:t>PAP</m:t>
            </m:r>
            <m:r>
              <w:rPr>
                <w:rFonts w:ascii="Cambria Math" w:hAnsi="Cambria Math"/>
                <w:sz w:val="32"/>
                <w:vertAlign w:val="subscript"/>
                <w:lang w:val="en-US"/>
              </w:rPr>
              <m:t>1*</m:t>
            </m:r>
            <m:r>
              <w:rPr>
                <w:rFonts w:ascii="Cambria Math" w:hAnsi="Cambria Math"/>
                <w:sz w:val="32"/>
                <w:vertAlign w:val="subscript"/>
              </w:rPr>
              <m:t>PSP</m:t>
            </m:r>
            <m:r>
              <w:rPr>
                <w:rFonts w:ascii="Cambria Math" w:hAnsi="Cambria Math"/>
                <w:sz w:val="32"/>
                <w:vertAlign w:val="subscript"/>
                <w:lang w:val="en-US"/>
              </w:rPr>
              <m:t>1</m:t>
            </m:r>
          </m:den>
        </m:f>
      </m:oMath>
      <w:r w:rsidRPr="00E10A6D">
        <w:rPr>
          <w:rFonts w:eastAsiaTheme="minorEastAsia"/>
          <w:sz w:val="32"/>
          <w:vertAlign w:val="subscript"/>
          <w:lang w:val="en-US"/>
        </w:rPr>
        <w:t xml:space="preserve">          </w:t>
      </w:r>
      <w:r w:rsidR="00C00C6D" w:rsidRPr="00E10A6D">
        <w:rPr>
          <w:rFonts w:ascii="Calibri" w:eastAsia="Calibri" w:hAnsi="Calibri" w:cs="Calibri"/>
          <w:sz w:val="54"/>
          <w:szCs w:val="54"/>
          <w:vertAlign w:val="subscript"/>
          <w:lang w:val="en-US"/>
        </w:rPr>
        <w:t xml:space="preserve">     </w:t>
      </w:r>
    </w:p>
    <w:p w:rsidR="00BE3162" w:rsidRPr="00E10A6D" w:rsidRDefault="00C00C6D" w:rsidP="00407762">
      <w:pPr>
        <w:spacing w:after="160" w:line="256" w:lineRule="auto"/>
        <w:rPr>
          <w:rFonts w:ascii="Century Gothic" w:eastAsia="Century Gothic" w:hAnsi="Century Gothic" w:cs="Century Gothic"/>
          <w:lang w:val="en-US"/>
        </w:rPr>
      </w:pPr>
      <w:r w:rsidRPr="00E10A6D">
        <w:rPr>
          <w:rFonts w:ascii="Century Gothic" w:eastAsia="Century Gothic" w:hAnsi="Century Gothic" w:cs="Century Gothic"/>
          <w:lang w:val="en-US"/>
        </w:rPr>
        <w:t xml:space="preserve">    </w:t>
      </w:r>
    </w:p>
    <w:p w:rsidR="00BE3162" w:rsidRPr="00E10A6D" w:rsidRDefault="00C00C6D" w:rsidP="00E10A6D">
      <w:pPr>
        <w:pStyle w:val="Prrafodelista"/>
        <w:numPr>
          <w:ilvl w:val="0"/>
          <w:numId w:val="2"/>
        </w:numPr>
        <w:spacing w:after="160" w:line="256" w:lineRule="auto"/>
        <w:jc w:val="both"/>
        <w:rPr>
          <w:rFonts w:ascii="Century Gothic" w:eastAsia="Century Gothic" w:hAnsi="Century Gothic" w:cs="Century Gothic"/>
          <w:b/>
        </w:rPr>
      </w:pPr>
      <w:r w:rsidRPr="00E10A6D">
        <w:rPr>
          <w:rFonts w:ascii="Century Gothic" w:eastAsia="Century Gothic" w:hAnsi="Century Gothic" w:cs="Century Gothic"/>
          <w:b/>
        </w:rPr>
        <w:t>CASO EN CONCRETO:</w:t>
      </w:r>
    </w:p>
    <w:p w:rsidR="00BE3162" w:rsidRDefault="00C00C6D">
      <w:pPr>
        <w:spacing w:after="160" w:line="256" w:lineRule="auto"/>
        <w:jc w:val="both"/>
        <w:rPr>
          <w:rFonts w:ascii="Century Gothic" w:eastAsia="Century Gothic" w:hAnsi="Century Gothic" w:cs="Century Gothic"/>
        </w:rPr>
      </w:pPr>
      <w:r>
        <w:rPr>
          <w:rFonts w:ascii="Century Gothic" w:eastAsia="Century Gothic" w:hAnsi="Century Gothic" w:cs="Century Gothic"/>
        </w:rPr>
        <w:t>Una persona consumidora de estupefacientes o alcohol pretende consumir en un espacio donde hay niños, la comunidad le solicita no consumir esas sustancias en frente de los niños por afectación de sus derechos, el consumidor alega su libre desarrollo a la personalidad.</w:t>
      </w:r>
    </w:p>
    <w:p w:rsidR="007861DF" w:rsidRDefault="007861DF">
      <w:pPr>
        <w:spacing w:after="160" w:line="256" w:lineRule="auto"/>
        <w:jc w:val="both"/>
        <w:rPr>
          <w:rFonts w:ascii="Century Gothic" w:eastAsia="Century Gothic" w:hAnsi="Century Gothic" w:cs="Century Gothic"/>
        </w:rPr>
      </w:pPr>
    </w:p>
    <w:p w:rsidR="00BE3162" w:rsidRDefault="00C00C6D">
      <w:pPr>
        <w:spacing w:after="160" w:line="256" w:lineRule="auto"/>
        <w:ind w:left="720"/>
        <w:jc w:val="both"/>
        <w:rPr>
          <w:rFonts w:ascii="Century Gothic" w:eastAsia="Century Gothic" w:hAnsi="Century Gothic" w:cs="Century Gothic"/>
        </w:rPr>
      </w:pPr>
      <w:r>
        <w:rPr>
          <w:rFonts w:ascii="Century Gothic" w:eastAsia="Century Gothic" w:hAnsi="Century Gothic" w:cs="Century Gothic"/>
          <w:b/>
        </w:rPr>
        <w:t>P1:</w:t>
      </w:r>
      <w:r>
        <w:rPr>
          <w:rFonts w:ascii="Century Gothic" w:eastAsia="Century Gothic" w:hAnsi="Century Gothic" w:cs="Century Gothic"/>
        </w:rPr>
        <w:t xml:space="preserve"> Derecho de los Niños.</w:t>
      </w:r>
    </w:p>
    <w:p w:rsidR="00BE3162" w:rsidRDefault="00C00C6D">
      <w:pPr>
        <w:spacing w:after="160" w:line="256" w:lineRule="auto"/>
        <w:ind w:left="720"/>
        <w:jc w:val="both"/>
        <w:rPr>
          <w:rFonts w:ascii="Century Gothic" w:eastAsia="Century Gothic" w:hAnsi="Century Gothic" w:cs="Century Gothic"/>
        </w:rPr>
      </w:pPr>
      <w:r>
        <w:rPr>
          <w:rFonts w:ascii="Century Gothic" w:eastAsia="Century Gothic" w:hAnsi="Century Gothic" w:cs="Century Gothic"/>
          <w:b/>
        </w:rPr>
        <w:t xml:space="preserve">PC = </w:t>
      </w:r>
      <w:r>
        <w:rPr>
          <w:rFonts w:ascii="Century Gothic" w:eastAsia="Century Gothic" w:hAnsi="Century Gothic" w:cs="Century Gothic"/>
        </w:rPr>
        <w:t xml:space="preserve">Medio (2), Porque los niños no están consumiendo directamente pero sí podrían estar siendo inducidos al consumo temprano. </w:t>
      </w:r>
    </w:p>
    <w:p w:rsidR="00BE3162" w:rsidRDefault="00C00C6D">
      <w:pPr>
        <w:spacing w:after="160" w:line="256" w:lineRule="auto"/>
        <w:ind w:left="720"/>
        <w:jc w:val="both"/>
        <w:rPr>
          <w:rFonts w:ascii="Century Gothic" w:eastAsia="Century Gothic" w:hAnsi="Century Gothic" w:cs="Century Gothic"/>
        </w:rPr>
      </w:pPr>
      <w:r>
        <w:rPr>
          <w:rFonts w:ascii="Century Gothic" w:eastAsia="Century Gothic" w:hAnsi="Century Gothic" w:cs="Century Gothic"/>
          <w:b/>
        </w:rPr>
        <w:t>PA =</w:t>
      </w:r>
      <w:r>
        <w:rPr>
          <w:rFonts w:ascii="Century Gothic" w:eastAsia="Century Gothic" w:hAnsi="Century Gothic" w:cs="Century Gothic"/>
        </w:rPr>
        <w:t xml:space="preserve"> Intenso (4), Porque todos los derechos de los niños prevalecen sobre los derechos de los demás. </w:t>
      </w:r>
    </w:p>
    <w:p w:rsidR="00BE3162" w:rsidRDefault="00C00C6D">
      <w:pPr>
        <w:spacing w:after="160" w:line="256" w:lineRule="auto"/>
        <w:ind w:left="720"/>
        <w:jc w:val="both"/>
        <w:rPr>
          <w:rFonts w:ascii="Century Gothic" w:eastAsia="Century Gothic" w:hAnsi="Century Gothic" w:cs="Century Gothic"/>
        </w:rPr>
      </w:pPr>
      <w:r>
        <w:rPr>
          <w:rFonts w:ascii="Century Gothic" w:eastAsia="Century Gothic" w:hAnsi="Century Gothic" w:cs="Century Gothic"/>
          <w:b/>
        </w:rPr>
        <w:t xml:space="preserve">PS = </w:t>
      </w:r>
      <w:r>
        <w:rPr>
          <w:rFonts w:ascii="Century Gothic" w:eastAsia="Century Gothic" w:hAnsi="Century Gothic" w:cs="Century Gothic"/>
        </w:rPr>
        <w:t>Seguro (1), Porque al prevalecer el derecho al libre desarrollo de la personalidad se permitiría el consumo de estupefacientes o alcohol en espacios donde hay niños, vulnerando así el derecho de los mismos.</w:t>
      </w:r>
    </w:p>
    <w:p w:rsidR="00BE3162" w:rsidRDefault="00BE3162">
      <w:pPr>
        <w:spacing w:after="160" w:line="256" w:lineRule="auto"/>
        <w:ind w:left="720"/>
        <w:jc w:val="both"/>
        <w:rPr>
          <w:rFonts w:ascii="Century Gothic" w:eastAsia="Century Gothic" w:hAnsi="Century Gothic" w:cs="Century Gothic"/>
        </w:rPr>
      </w:pPr>
    </w:p>
    <w:p w:rsidR="00BE3162" w:rsidRDefault="00C00C6D">
      <w:pPr>
        <w:spacing w:after="160" w:line="256" w:lineRule="auto"/>
        <w:ind w:left="720"/>
        <w:jc w:val="both"/>
        <w:rPr>
          <w:rFonts w:ascii="Century Gothic" w:eastAsia="Century Gothic" w:hAnsi="Century Gothic" w:cs="Century Gothic"/>
        </w:rPr>
      </w:pPr>
      <w:r>
        <w:rPr>
          <w:rFonts w:ascii="Century Gothic" w:eastAsia="Century Gothic" w:hAnsi="Century Gothic" w:cs="Century Gothic"/>
          <w:b/>
        </w:rPr>
        <w:t>P2:</w:t>
      </w:r>
      <w:r>
        <w:rPr>
          <w:rFonts w:ascii="Century Gothic" w:eastAsia="Century Gothic" w:hAnsi="Century Gothic" w:cs="Century Gothic"/>
        </w:rPr>
        <w:t xml:space="preserve"> Derechos al libre desarrollo de la personalidad.</w:t>
      </w:r>
    </w:p>
    <w:p w:rsidR="00BE3162" w:rsidRDefault="00C00C6D">
      <w:pPr>
        <w:spacing w:after="160" w:line="256" w:lineRule="auto"/>
        <w:ind w:left="720"/>
        <w:jc w:val="both"/>
        <w:rPr>
          <w:rFonts w:ascii="Century Gothic" w:eastAsia="Century Gothic" w:hAnsi="Century Gothic" w:cs="Century Gothic"/>
        </w:rPr>
      </w:pPr>
      <w:r>
        <w:rPr>
          <w:rFonts w:ascii="Century Gothic" w:eastAsia="Century Gothic" w:hAnsi="Century Gothic" w:cs="Century Gothic"/>
          <w:b/>
        </w:rPr>
        <w:t>PC =</w:t>
      </w:r>
      <w:r>
        <w:rPr>
          <w:rFonts w:ascii="Century Gothic" w:eastAsia="Century Gothic" w:hAnsi="Century Gothic" w:cs="Century Gothic"/>
        </w:rPr>
        <w:t xml:space="preserve"> Leve (1), Porque la persona que pretende consumir tiene la libertad de hacerlo en cualquier parte, pero en ausencia de niños. </w:t>
      </w:r>
    </w:p>
    <w:p w:rsidR="00BE3162" w:rsidRDefault="00C00C6D">
      <w:pPr>
        <w:spacing w:after="160" w:line="256" w:lineRule="auto"/>
        <w:ind w:left="720"/>
        <w:jc w:val="both"/>
        <w:rPr>
          <w:rFonts w:ascii="Century Gothic" w:eastAsia="Century Gothic" w:hAnsi="Century Gothic" w:cs="Century Gothic"/>
        </w:rPr>
      </w:pPr>
      <w:r>
        <w:rPr>
          <w:rFonts w:ascii="Century Gothic" w:eastAsia="Century Gothic" w:hAnsi="Century Gothic" w:cs="Century Gothic"/>
          <w:b/>
        </w:rPr>
        <w:t>PA =</w:t>
      </w:r>
      <w:r>
        <w:rPr>
          <w:rFonts w:ascii="Century Gothic" w:eastAsia="Century Gothic" w:hAnsi="Century Gothic" w:cs="Century Gothic"/>
        </w:rPr>
        <w:t xml:space="preserve"> Medio (2), Porque el derecho al libre desarrollo de la personalidad está limitado por los derechos de los demás. </w:t>
      </w:r>
    </w:p>
    <w:p w:rsidR="00BE3162" w:rsidRDefault="00C00C6D">
      <w:pPr>
        <w:spacing w:after="160" w:line="256" w:lineRule="auto"/>
        <w:ind w:left="720"/>
        <w:jc w:val="both"/>
        <w:rPr>
          <w:rFonts w:ascii="Century Gothic" w:eastAsia="Century Gothic" w:hAnsi="Century Gothic" w:cs="Century Gothic"/>
        </w:rPr>
      </w:pPr>
      <w:r>
        <w:rPr>
          <w:rFonts w:ascii="Century Gothic" w:eastAsia="Century Gothic" w:hAnsi="Century Gothic" w:cs="Century Gothic"/>
          <w:b/>
        </w:rPr>
        <w:t xml:space="preserve">PS = </w:t>
      </w:r>
      <w:r>
        <w:rPr>
          <w:rFonts w:ascii="Century Gothic" w:eastAsia="Century Gothic" w:hAnsi="Century Gothic" w:cs="Century Gothic"/>
        </w:rPr>
        <w:t xml:space="preserve">Improbable (1/4), Porque al no permitir el consumo de estupefacientes o alcohol en espacios donde hay niños no se le estaría vulnerando a los consumidores su derecho al libre desarrollo de la personalidad porque el mismo nunca podría ser absoluto. </w:t>
      </w:r>
    </w:p>
    <w:p w:rsidR="00E10A6D" w:rsidRPr="00E10A6D" w:rsidRDefault="00E10A6D" w:rsidP="00E10A6D">
      <w:pPr>
        <w:spacing w:after="160" w:line="256" w:lineRule="auto"/>
        <w:ind w:left="720"/>
        <w:jc w:val="both"/>
        <w:rPr>
          <w:rFonts w:ascii="Century Gothic" w:eastAsia="Century Gothic" w:hAnsi="Century Gothic" w:cs="Century Gothic"/>
        </w:rPr>
      </w:pPr>
      <w:r w:rsidRPr="00060D42">
        <w:rPr>
          <w:sz w:val="32"/>
        </w:rPr>
        <w:t>P</w:t>
      </w:r>
      <w:r w:rsidRPr="00DD6A98">
        <w:rPr>
          <w:sz w:val="32"/>
          <w:vertAlign w:val="subscript"/>
        </w:rPr>
        <w:t>1</w:t>
      </w:r>
      <w:r>
        <w:rPr>
          <w:sz w:val="32"/>
        </w:rPr>
        <w:t>P</w:t>
      </w:r>
      <w:r w:rsidRPr="00DD6A98">
        <w:rPr>
          <w:sz w:val="32"/>
          <w:vertAlign w:val="subscript"/>
        </w:rPr>
        <w:t>2</w:t>
      </w:r>
      <w:r>
        <w:rPr>
          <w:sz w:val="32"/>
          <w:vertAlign w:val="subscript"/>
        </w:rPr>
        <w:t xml:space="preserve"> =</w:t>
      </w:r>
      <w:r>
        <w:rPr>
          <w:rFonts w:eastAsiaTheme="minorEastAsia"/>
          <w:sz w:val="32"/>
          <w:vertAlign w:val="subscript"/>
        </w:rPr>
        <w:t xml:space="preserve">    </w:t>
      </w:r>
      <m:oMath>
        <m:f>
          <m:fPr>
            <m:ctrlPr>
              <w:rPr>
                <w:rFonts w:ascii="Cambria Math" w:hAnsi="Cambria Math"/>
                <w:i/>
                <w:sz w:val="32"/>
                <w:vertAlign w:val="subscript"/>
              </w:rPr>
            </m:ctrlPr>
          </m:fPr>
          <m:num>
            <m:r>
              <w:rPr>
                <w:rFonts w:ascii="Cambria Math" w:hAnsi="Cambria Math"/>
                <w:sz w:val="32"/>
                <w:vertAlign w:val="subscript"/>
              </w:rPr>
              <m:t>2*4*1</m:t>
            </m:r>
          </m:num>
          <m:den>
            <m:r>
              <w:rPr>
                <w:rFonts w:ascii="Cambria Math" w:hAnsi="Cambria Math"/>
                <w:sz w:val="32"/>
                <w:vertAlign w:val="subscript"/>
              </w:rPr>
              <m:t>1*2*0.25</m:t>
            </m:r>
          </m:den>
        </m:f>
      </m:oMath>
      <w:r>
        <w:rPr>
          <w:rFonts w:eastAsiaTheme="minorEastAsia"/>
          <w:sz w:val="32"/>
          <w:vertAlign w:val="subscript"/>
        </w:rPr>
        <w:t xml:space="preserve">    = </w:t>
      </w:r>
      <w:r w:rsidRPr="00F45663">
        <w:rPr>
          <w:rFonts w:eastAsiaTheme="minorEastAsia"/>
          <w:sz w:val="32"/>
        </w:rPr>
        <w:t xml:space="preserve">16  </w:t>
      </w:r>
      <w:r>
        <w:rPr>
          <w:rFonts w:eastAsiaTheme="minorEastAsia"/>
          <w:sz w:val="32"/>
          <w:vertAlign w:val="subscript"/>
        </w:rPr>
        <w:t xml:space="preserve">              </w:t>
      </w:r>
    </w:p>
    <w:p w:rsidR="00E10A6D" w:rsidRDefault="00E10A6D" w:rsidP="00E10A6D">
      <w:pPr>
        <w:jc w:val="both"/>
      </w:pPr>
    </w:p>
    <w:p w:rsidR="00E10A6D" w:rsidRPr="007861DF" w:rsidRDefault="00E10A6D" w:rsidP="007861DF">
      <w:pPr>
        <w:ind w:left="720"/>
        <w:jc w:val="both"/>
        <w:rPr>
          <w:rFonts w:eastAsiaTheme="minorEastAsia"/>
          <w:sz w:val="32"/>
        </w:rPr>
      </w:pPr>
      <w:r w:rsidRPr="00060D42">
        <w:rPr>
          <w:sz w:val="32"/>
        </w:rPr>
        <w:t>P</w:t>
      </w:r>
      <w:r>
        <w:rPr>
          <w:sz w:val="32"/>
          <w:vertAlign w:val="subscript"/>
        </w:rPr>
        <w:t>2</w:t>
      </w:r>
      <w:r>
        <w:rPr>
          <w:sz w:val="32"/>
        </w:rPr>
        <w:t>P</w:t>
      </w:r>
      <w:r>
        <w:rPr>
          <w:sz w:val="32"/>
          <w:vertAlign w:val="subscript"/>
        </w:rPr>
        <w:t>1 =</w:t>
      </w:r>
      <w:r>
        <w:rPr>
          <w:rFonts w:eastAsiaTheme="minorEastAsia"/>
          <w:sz w:val="32"/>
          <w:vertAlign w:val="subscript"/>
        </w:rPr>
        <w:t xml:space="preserve">    </w:t>
      </w:r>
      <m:oMath>
        <m:f>
          <m:fPr>
            <m:ctrlPr>
              <w:rPr>
                <w:rFonts w:ascii="Cambria Math" w:hAnsi="Cambria Math"/>
                <w:i/>
                <w:sz w:val="32"/>
                <w:vertAlign w:val="subscript"/>
              </w:rPr>
            </m:ctrlPr>
          </m:fPr>
          <m:num>
            <m:r>
              <w:rPr>
                <w:rFonts w:ascii="Cambria Math" w:hAnsi="Cambria Math"/>
                <w:sz w:val="32"/>
                <w:vertAlign w:val="subscript"/>
              </w:rPr>
              <m:t>1*2*0.25</m:t>
            </m:r>
          </m:num>
          <m:den>
            <m:r>
              <w:rPr>
                <w:rFonts w:ascii="Cambria Math" w:hAnsi="Cambria Math"/>
                <w:sz w:val="32"/>
                <w:vertAlign w:val="subscript"/>
              </w:rPr>
              <m:t>2*4*1</m:t>
            </m:r>
          </m:den>
        </m:f>
      </m:oMath>
      <w:r>
        <w:rPr>
          <w:rFonts w:eastAsiaTheme="minorEastAsia"/>
          <w:sz w:val="32"/>
          <w:vertAlign w:val="subscript"/>
        </w:rPr>
        <w:t xml:space="preserve">    = </w:t>
      </w:r>
      <w:r>
        <w:rPr>
          <w:rFonts w:eastAsiaTheme="minorEastAsia"/>
          <w:sz w:val="32"/>
        </w:rPr>
        <w:t>0,0625</w:t>
      </w:r>
    </w:p>
    <w:p w:rsidR="00BE3162" w:rsidRDefault="00C00C6D">
      <w:pPr>
        <w:spacing w:after="160" w:line="256" w:lineRule="auto"/>
        <w:jc w:val="both"/>
        <w:rPr>
          <w:rFonts w:ascii="Century Gothic" w:eastAsia="Century Gothic" w:hAnsi="Century Gothic" w:cs="Century Gothic"/>
        </w:rPr>
      </w:pPr>
      <w:r>
        <w:rPr>
          <w:rFonts w:ascii="Century Gothic" w:eastAsia="Century Gothic" w:hAnsi="Century Gothic" w:cs="Century Gothic"/>
        </w:rPr>
        <w:lastRenderedPageBreak/>
        <w:t xml:space="preserve">Consecuencialmente, y después de haber realizado el análisis de ponderación de Robert Alexy, se puede evidenciar que el derecho de los niños tiene más peso frente al derecho al libre desarrollo de la personalidad, en caso de colisión.  </w:t>
      </w:r>
    </w:p>
    <w:p w:rsidR="00BE3162" w:rsidRPr="00E10A6D" w:rsidRDefault="00C00C6D" w:rsidP="00E10A6D">
      <w:pPr>
        <w:pStyle w:val="Prrafodelista"/>
        <w:numPr>
          <w:ilvl w:val="0"/>
          <w:numId w:val="2"/>
        </w:numPr>
        <w:spacing w:after="160" w:line="256" w:lineRule="auto"/>
        <w:jc w:val="both"/>
        <w:rPr>
          <w:rFonts w:ascii="Century Gothic" w:eastAsia="Century Gothic" w:hAnsi="Century Gothic" w:cs="Century Gothic"/>
          <w:b/>
        </w:rPr>
      </w:pPr>
      <w:r w:rsidRPr="00E10A6D">
        <w:rPr>
          <w:rFonts w:ascii="Century Gothic" w:eastAsia="Century Gothic" w:hAnsi="Century Gothic" w:cs="Century Gothic"/>
          <w:b/>
        </w:rPr>
        <w:t>ANÁLISIS SENTENCIA 221 DE 1994</w:t>
      </w:r>
    </w:p>
    <w:p w:rsidR="00BE3162" w:rsidRDefault="00C00C6D">
      <w:pPr>
        <w:spacing w:after="160" w:line="256" w:lineRule="auto"/>
        <w:jc w:val="both"/>
        <w:rPr>
          <w:rFonts w:ascii="Century Gothic" w:eastAsia="Century Gothic" w:hAnsi="Century Gothic" w:cs="Century Gothic"/>
        </w:rPr>
      </w:pPr>
      <w:r>
        <w:rPr>
          <w:rFonts w:ascii="Century Gothic" w:eastAsia="Century Gothic" w:hAnsi="Century Gothic" w:cs="Century Gothic"/>
        </w:rPr>
        <w:t>Según la mencionada sentencia el legislador no puede válidamente establecer más limitaciones que aquéllas que estén en armonía con el espíritu de la Constitución. La primera consecuencia que se deriva de la autonomía, consiste en que es la propia persona (y no nadie por ella) quien debe darle sentido a su existencia y, en armonía con él, un rumbo.  Si a la persona se le reconoce esa autonomía, no puede limitarla sino  en la medida en que entra en conflicto con la autonomía ajena. El considerar a la persona como autónoma tiene sus consecuencias inevitables e inexorables, y la primera y más importante de todas consiste en que los asuntos que sólo a la persona atañen, sólo por ella deben ser decididos. Decidir por ella es arrebatarle brutalmente su condición ética, reducirla a la condición de objeto, cosificarla, convertirla en medio para los fines que por fuera de ella se eligen. (…) Que las personas sean libres y autónomas para elegir su forma de vida mientras ésta no interfiera con la autonomía de las otras, es parte vital del interés común en una sociedad personalista, como la que ha pretendido configurar la Carta Política que hoy nos rige.</w:t>
      </w:r>
    </w:p>
    <w:p w:rsidR="00BE3162" w:rsidRDefault="00C00C6D">
      <w:pPr>
        <w:spacing w:after="160" w:line="256" w:lineRule="auto"/>
        <w:jc w:val="both"/>
        <w:rPr>
          <w:rFonts w:ascii="Century Gothic" w:eastAsia="Century Gothic" w:hAnsi="Century Gothic" w:cs="Century Gothic"/>
        </w:rPr>
      </w:pPr>
      <w:r>
        <w:rPr>
          <w:rFonts w:ascii="Century Gothic" w:eastAsia="Century Gothic" w:hAnsi="Century Gothic" w:cs="Century Gothic"/>
        </w:rPr>
        <w:t xml:space="preserve">En esta ocasión la Corte fue enfática al sostener que el legislador puede válidamente sin vulnerar el núcleo esencial de los derechos a la igualdad y a la libertad regular las circunstancias de lugar, de edad, de ejercicio temporal de actividades, y otras análogas, dentro de las cuales el consumo de droga resulte inadecuado o socialmente nocivo, y que esto se debe hacer mediante la modificación al Código de Policía. </w:t>
      </w:r>
    </w:p>
    <w:p w:rsidR="00BE3162" w:rsidRDefault="00C00C6D">
      <w:pPr>
        <w:spacing w:after="160" w:line="256" w:lineRule="auto"/>
        <w:jc w:val="both"/>
        <w:rPr>
          <w:rFonts w:ascii="Century Gothic" w:eastAsia="Century Gothic" w:hAnsi="Century Gothic" w:cs="Century Gothic"/>
          <w:b/>
        </w:rPr>
      </w:pPr>
      <w:r>
        <w:rPr>
          <w:rFonts w:ascii="Century Gothic" w:eastAsia="Century Gothic" w:hAnsi="Century Gothic" w:cs="Century Gothic"/>
        </w:rPr>
        <w:t xml:space="preserve">En conclusión, es claro que la Corte Constitucional antes de la declaratoria de inexequibilidad del artículo 33 (literal c, numeral 2) del Código Nacional de Policía y Convivencia (Ley 1801 de 2016), mediante sentencia 253 de 2019, nunca había afirmado que el derecho al libre desarrollo de la personalidad, era absoluto, por el contrario, siempre fue reconocido que tiene limitantes en los derechos de otras personas y que es posible la limitación al consumo de drogas y alcohol en circunstancias de espacio, modo y lugar reguladas por el legislador, que esa regulación se debe realizar mediante el Código de Policía, por afectar la convivencia ciudadana, no reconocerlo así, implicaría que las personas, por ejemplo fumen en espacios cerrados, conduzcan en estado de embriaguez o cometan conductas que </w:t>
      </w:r>
      <w:r>
        <w:rPr>
          <w:rFonts w:ascii="Century Gothic" w:eastAsia="Century Gothic" w:hAnsi="Century Gothic" w:cs="Century Gothic"/>
        </w:rPr>
        <w:lastRenderedPageBreak/>
        <w:t xml:space="preserve">en este momento son ilegales o ilícitas, alegando el libre desarrollo de la personalidad, si fuese reconocido como absoluto. </w:t>
      </w:r>
    </w:p>
    <w:p w:rsidR="00BE3162" w:rsidRDefault="00C00C6D">
      <w:pPr>
        <w:pBdr>
          <w:top w:val="nil"/>
          <w:left w:val="nil"/>
          <w:bottom w:val="nil"/>
          <w:right w:val="nil"/>
          <w:between w:val="nil"/>
        </w:pBdr>
        <w:spacing w:after="200"/>
        <w:ind w:firstLine="720"/>
        <w:jc w:val="both"/>
        <w:rPr>
          <w:rFonts w:ascii="Century Gothic" w:eastAsia="Century Gothic" w:hAnsi="Century Gothic" w:cs="Century Gothic"/>
          <w:b/>
          <w:color w:val="000000"/>
        </w:rPr>
      </w:pPr>
      <w:r>
        <w:rPr>
          <w:rFonts w:ascii="Century Gothic" w:eastAsia="Century Gothic" w:hAnsi="Century Gothic" w:cs="Century Gothic"/>
          <w:b/>
          <w:color w:val="000000"/>
        </w:rPr>
        <w:t>2. EXPOSICIÓN DE CONVENIENCIA</w:t>
      </w:r>
    </w:p>
    <w:p w:rsidR="00BE3162" w:rsidRDefault="00C00C6D">
      <w:pPr>
        <w:pBdr>
          <w:top w:val="nil"/>
          <w:left w:val="nil"/>
          <w:bottom w:val="nil"/>
          <w:right w:val="nil"/>
          <w:between w:val="nil"/>
        </w:pBdr>
        <w:spacing w:after="200"/>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La realidad social de los últimos años en cuanto al consumo de sustancias </w:t>
      </w:r>
      <w:r>
        <w:rPr>
          <w:rFonts w:ascii="Century Gothic" w:eastAsia="Century Gothic" w:hAnsi="Century Gothic" w:cs="Century Gothic"/>
        </w:rPr>
        <w:t>alcohólicas</w:t>
      </w:r>
      <w:r>
        <w:rPr>
          <w:rFonts w:ascii="Century Gothic" w:eastAsia="Century Gothic" w:hAnsi="Century Gothic" w:cs="Century Gothic"/>
          <w:color w:val="000000"/>
        </w:rPr>
        <w:t xml:space="preserve">, estupefacientes, </w:t>
      </w:r>
      <w:r>
        <w:rPr>
          <w:rFonts w:ascii="Century Gothic" w:eastAsia="Century Gothic" w:hAnsi="Century Gothic" w:cs="Century Gothic"/>
        </w:rPr>
        <w:t>psicotrópicas</w:t>
      </w:r>
      <w:r>
        <w:rPr>
          <w:rFonts w:ascii="Century Gothic" w:eastAsia="Century Gothic" w:hAnsi="Century Gothic" w:cs="Century Gothic"/>
          <w:color w:val="000000"/>
        </w:rPr>
        <w:t xml:space="preserve"> y/o </w:t>
      </w:r>
      <w:r>
        <w:rPr>
          <w:rFonts w:ascii="Century Gothic" w:eastAsia="Century Gothic" w:hAnsi="Century Gothic" w:cs="Century Gothic"/>
        </w:rPr>
        <w:t>prohibidas</w:t>
      </w:r>
      <w:r>
        <w:rPr>
          <w:rFonts w:ascii="Century Gothic" w:eastAsia="Century Gothic" w:hAnsi="Century Gothic" w:cs="Century Gothic"/>
          <w:color w:val="000000"/>
        </w:rPr>
        <w:t xml:space="preserve">, ha llevado a que diferentes sectores sociales y entidades busquen diversas soluciones, colocando especial énfasis en el campo de la prevención del consumo, con el fin de tratar de evitar las consecuencias sociales y personales del consumo en niños, niñas y adolescentes. La prevención representa sin duda la máxima prioridad frente al consumo en menores de edad. </w:t>
      </w:r>
    </w:p>
    <w:p w:rsidR="00BE3162" w:rsidRDefault="00C00C6D">
      <w:pPr>
        <w:pBdr>
          <w:top w:val="nil"/>
          <w:left w:val="nil"/>
          <w:bottom w:val="nil"/>
          <w:right w:val="nil"/>
          <w:between w:val="nil"/>
        </w:pBdr>
        <w:spacing w:after="200"/>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Por lo anterior, la prevención no es simplemente una cuestión de buenas intenciones, sino que requiere por su parte de planificación, educación y por supuesto efectividad de la Ley. Entre las múltiples dificultades que existen actualmente para impulsar los procesos de generalización de los programas preventivos, encontramos la legislación vigente anteriormente descrita como una limitante. Para ello, es conveniente para el contexto actual de nuestro país presentar la iniciativa legislativa en cuestión con el fin de prevenir mediante el uso efectivo de la norma el consumo en niños, niñas y adolescentes. </w:t>
      </w:r>
    </w:p>
    <w:p w:rsidR="00BE3162" w:rsidRDefault="00C00C6D">
      <w:pPr>
        <w:pBdr>
          <w:top w:val="nil"/>
          <w:left w:val="nil"/>
          <w:bottom w:val="nil"/>
          <w:right w:val="nil"/>
          <w:between w:val="nil"/>
        </w:pBdr>
        <w:spacing w:after="200"/>
        <w:jc w:val="both"/>
        <w:rPr>
          <w:rFonts w:ascii="Century Gothic" w:eastAsia="Century Gothic" w:hAnsi="Century Gothic" w:cs="Century Gothic"/>
        </w:rPr>
      </w:pPr>
      <w:r>
        <w:rPr>
          <w:rFonts w:ascii="Century Gothic" w:eastAsia="Century Gothic" w:hAnsi="Century Gothic" w:cs="Century Gothic"/>
          <w:color w:val="000000"/>
        </w:rPr>
        <w:t xml:space="preserve">Toda intervención, a pesar de ser </w:t>
      </w:r>
      <w:r>
        <w:rPr>
          <w:rFonts w:ascii="Century Gothic" w:eastAsia="Century Gothic" w:hAnsi="Century Gothic" w:cs="Century Gothic"/>
        </w:rPr>
        <w:t>legislativa</w:t>
      </w:r>
      <w:r>
        <w:rPr>
          <w:rFonts w:ascii="Century Gothic" w:eastAsia="Century Gothic" w:hAnsi="Century Gothic" w:cs="Century Gothic"/>
          <w:color w:val="000000"/>
        </w:rPr>
        <w:t xml:space="preserve">, debe ir precedida de la identificación de los factores de riesgo y protección en la población general o en poblaciones particulares. </w:t>
      </w:r>
      <w:r>
        <w:rPr>
          <w:rFonts w:ascii="Century Gothic" w:eastAsia="Century Gothic" w:hAnsi="Century Gothic" w:cs="Century Gothic"/>
        </w:rPr>
        <w:t>Para tal efecto, es necesario tomar medidas que permitan evitar que nuestros jóvenes caigan en el consumo de sustancias y que, con ello, puedan entrar al mundo del crimen.</w:t>
      </w:r>
    </w:p>
    <w:p w:rsidR="00BE3162" w:rsidRDefault="00C00C6D">
      <w:pPr>
        <w:pBdr>
          <w:top w:val="nil"/>
          <w:left w:val="nil"/>
          <w:bottom w:val="nil"/>
          <w:right w:val="nil"/>
          <w:between w:val="nil"/>
        </w:pBdr>
        <w:spacing w:after="200"/>
        <w:jc w:val="both"/>
        <w:rPr>
          <w:rFonts w:ascii="Century Gothic" w:eastAsia="Century Gothic" w:hAnsi="Century Gothic" w:cs="Century Gothic"/>
        </w:rPr>
      </w:pPr>
      <w:r>
        <w:rPr>
          <w:rFonts w:ascii="Century Gothic" w:eastAsia="Century Gothic" w:hAnsi="Century Gothic" w:cs="Century Gothic"/>
        </w:rPr>
        <w:t>En la niñez y la adolescencia el sujeto está experimentando una serie de cambios decisivos para su vida futura. En el ámbito neurobiológico se sabe que las funciones de planificación y toma de decisiones, están contenidas dentro de la corteza cerebral, estructura involucrada en el juicio. Mencionada estructura es la última en desarrollarse en los adolescentes, lo que puede ayudar a explicar porqué los adolescentes tienden a tomar riesgos más altos (Maturana, 2011). De esta manera se entiende, porque la exposición al alcohol y a las sustancias psicoactivas se convierten en escenarios críticos para los niños, niñas y adolescentes que, pueden llegar a afectar la propensión hacia una adicción en el futuro.</w:t>
      </w:r>
    </w:p>
    <w:p w:rsidR="00BE3162" w:rsidRDefault="00C00C6D">
      <w:pPr>
        <w:pBdr>
          <w:top w:val="nil"/>
          <w:left w:val="nil"/>
          <w:bottom w:val="nil"/>
          <w:right w:val="nil"/>
          <w:between w:val="nil"/>
        </w:pBdr>
        <w:spacing w:after="200"/>
        <w:jc w:val="both"/>
        <w:rPr>
          <w:rFonts w:ascii="Century Gothic" w:eastAsia="Century Gothic" w:hAnsi="Century Gothic" w:cs="Century Gothic"/>
        </w:rPr>
      </w:pPr>
      <w:r>
        <w:rPr>
          <w:rFonts w:ascii="Century Gothic" w:eastAsia="Century Gothic" w:hAnsi="Century Gothic" w:cs="Century Gothic"/>
        </w:rPr>
        <w:t>El alcohol y la droga, entendida como</w:t>
      </w:r>
      <w:r>
        <w:rPr>
          <w:rFonts w:ascii="Century Gothic" w:eastAsia="Century Gothic" w:hAnsi="Century Gothic" w:cs="Century Gothic"/>
          <w:i/>
        </w:rPr>
        <w:t xml:space="preserve"> “puerta de entrada”</w:t>
      </w:r>
      <w:r>
        <w:rPr>
          <w:rFonts w:ascii="Century Gothic" w:eastAsia="Century Gothic" w:hAnsi="Century Gothic" w:cs="Century Gothic"/>
        </w:rPr>
        <w:t xml:space="preserve">, es definida como la secuencia en la cual el uso de una sustancia precede y aumenta de manera significativa la probabilidad del uso de otra sustancia ilícita y posiblemente más fuerte (Fergusson, Boden, &amp; Horwood, 2006). Dentro de las sustancias conocidas como puerta de entrada, se encuentra principalmente el alcohol y la marihuana. </w:t>
      </w:r>
    </w:p>
    <w:p w:rsidR="00BE3162" w:rsidRDefault="00C00C6D">
      <w:pPr>
        <w:pBdr>
          <w:top w:val="nil"/>
          <w:left w:val="nil"/>
          <w:bottom w:val="nil"/>
          <w:right w:val="nil"/>
          <w:between w:val="nil"/>
        </w:pBdr>
        <w:spacing w:after="200"/>
        <w:jc w:val="both"/>
        <w:rPr>
          <w:rFonts w:ascii="Century Gothic" w:eastAsia="Century Gothic" w:hAnsi="Century Gothic" w:cs="Century Gothic"/>
        </w:rPr>
      </w:pPr>
      <w:r>
        <w:rPr>
          <w:rFonts w:ascii="Century Gothic" w:eastAsia="Century Gothic" w:hAnsi="Century Gothic" w:cs="Century Gothic"/>
        </w:rPr>
        <w:lastRenderedPageBreak/>
        <w:t xml:space="preserve">Por otra parte, dentro de las consecuencias negativas derivadas del consumo  de alcohol y de sustancias psicoactivas se encuentran las repercusiones en la salud pública, la aparición de diversas enfermedades, daños, perjuicios y problemas físicos y psíquicos como enfermedades cardiovasculares, hepáticas, pulmonares y la alta probabilidad de padecer una amplia gama de trastornos psicológicos.  </w:t>
      </w:r>
    </w:p>
    <w:p w:rsidR="00BE3162" w:rsidRDefault="00C00C6D">
      <w:pPr>
        <w:pBdr>
          <w:top w:val="nil"/>
          <w:left w:val="nil"/>
          <w:bottom w:val="nil"/>
          <w:right w:val="nil"/>
          <w:between w:val="nil"/>
        </w:pBdr>
        <w:spacing w:after="200"/>
        <w:jc w:val="both"/>
        <w:rPr>
          <w:rFonts w:ascii="Century Gothic" w:eastAsia="Century Gothic" w:hAnsi="Century Gothic" w:cs="Century Gothic"/>
          <w:color w:val="000000"/>
        </w:rPr>
      </w:pPr>
      <w:r>
        <w:rPr>
          <w:rFonts w:ascii="Century Gothic" w:eastAsia="Century Gothic" w:hAnsi="Century Gothic" w:cs="Century Gothic"/>
        </w:rPr>
        <w:t xml:space="preserve">De conformidad con lo anterior, la presente iniciativa pretende dotar de herramientas a la Policía Nacional para regular y controlar de manera efectiva los escenarios públicos en donde los menores de edad pueden ser víctimas o incentivados hacia el consumo de sustancias. Según un estudio realizado en 2011 por el Observatorio del Delito de la Policía Nacional, las drogas constituyen una problemática compleja y multidimensional dada su naturaleza, incidencia y consecuencias. </w:t>
      </w:r>
    </w:p>
    <w:p w:rsidR="00BE3162" w:rsidRDefault="00C00C6D">
      <w:pPr>
        <w:pBdr>
          <w:top w:val="nil"/>
          <w:left w:val="nil"/>
          <w:bottom w:val="nil"/>
          <w:right w:val="nil"/>
          <w:between w:val="nil"/>
        </w:pBdr>
        <w:spacing w:after="200"/>
        <w:ind w:firstLine="720"/>
        <w:rPr>
          <w:rFonts w:ascii="Century Gothic" w:eastAsia="Century Gothic" w:hAnsi="Century Gothic" w:cs="Century Gothic"/>
          <w:b/>
          <w:color w:val="000000"/>
        </w:rPr>
      </w:pPr>
      <w:r>
        <w:rPr>
          <w:rFonts w:ascii="Century Gothic" w:eastAsia="Century Gothic" w:hAnsi="Century Gothic" w:cs="Century Gothic"/>
          <w:b/>
          <w:color w:val="000000"/>
        </w:rPr>
        <w:t>3. ANÁLISIS DE DERECHO COMPARADO</w:t>
      </w:r>
    </w:p>
    <w:p w:rsidR="00BC0C1F" w:rsidRPr="00BC0C1F" w:rsidRDefault="00BC0C1F" w:rsidP="00BC0C1F">
      <w:pPr>
        <w:pStyle w:val="NormalWeb"/>
        <w:spacing w:before="0" w:beforeAutospacing="0" w:after="160" w:afterAutospacing="0"/>
        <w:jc w:val="both"/>
        <w:rPr>
          <w:rFonts w:ascii="-webkit-standard" w:hAnsi="-webkit-standard"/>
          <w:color w:val="000000"/>
        </w:rPr>
      </w:pPr>
      <w:r w:rsidRPr="00BC0C1F">
        <w:rPr>
          <w:rFonts w:ascii="Century Gothic" w:hAnsi="Century Gothic"/>
          <w:color w:val="000000"/>
        </w:rPr>
        <w:t>A nivel internacional, al menos en los países investigados, existe un consenso general sobre la prohibición de consumo de sustancias que alteren el juicio de los individuos, sea este por motivos recreativos o médicos.</w:t>
      </w:r>
    </w:p>
    <w:p w:rsidR="00BC0C1F" w:rsidRPr="00BC0C1F" w:rsidRDefault="00BC0C1F" w:rsidP="00BC0C1F">
      <w:pPr>
        <w:pStyle w:val="NormalWeb"/>
        <w:spacing w:before="0" w:beforeAutospacing="0" w:after="160" w:afterAutospacing="0"/>
        <w:jc w:val="both"/>
        <w:rPr>
          <w:rFonts w:ascii="-webkit-standard" w:hAnsi="-webkit-standard"/>
          <w:color w:val="000000"/>
        </w:rPr>
      </w:pPr>
      <w:r w:rsidRPr="00BC0C1F">
        <w:rPr>
          <w:rFonts w:ascii="Century Gothic" w:hAnsi="Century Gothic"/>
          <w:color w:val="000000"/>
        </w:rPr>
        <w:t>Si bien, ya no se persigue al consumidor como un delincuente, los esfuerzos se han centrado en mantener el consumo en espacios reducidos, de modo que no se afecte a quienes no consumen este tipo de sustancias, ni a los menores de edad.</w:t>
      </w:r>
    </w:p>
    <w:p w:rsidR="00BC0C1F" w:rsidRPr="00BC0C1F" w:rsidRDefault="00BC0C1F" w:rsidP="00BC0C1F">
      <w:pPr>
        <w:pStyle w:val="NormalWeb"/>
        <w:spacing w:before="0" w:beforeAutospacing="0" w:after="160" w:afterAutospacing="0"/>
        <w:jc w:val="both"/>
        <w:rPr>
          <w:rFonts w:ascii="-webkit-standard" w:hAnsi="-webkit-standard"/>
          <w:color w:val="000000"/>
        </w:rPr>
      </w:pPr>
      <w:r w:rsidRPr="00BC0C1F">
        <w:rPr>
          <w:rFonts w:ascii="Century Gothic" w:hAnsi="Century Gothic"/>
          <w:color w:val="000000"/>
        </w:rPr>
        <w:t>En efecto, Portugal ha despenalizado el consumo de todas las drogas, pero aun así no permite que estas se consuman en público, otros países más conservadores como chile, permiten el consumo de algunas sustancias, pero en lugares privados con previo consentimiento del dueño del lugar, por lo que en materia de permisividad frente al consumo de estas sustancias, la regla general es evitar el consumo en espacios públicos, o donde haya menores de edad presentes.</w:t>
      </w:r>
    </w:p>
    <w:p w:rsidR="00BC0C1F" w:rsidRPr="00BC0C1F" w:rsidRDefault="00BC0C1F" w:rsidP="00BC0C1F">
      <w:pPr>
        <w:pStyle w:val="NormalWeb"/>
        <w:spacing w:before="0" w:beforeAutospacing="0" w:after="160" w:afterAutospacing="0"/>
        <w:jc w:val="both"/>
        <w:rPr>
          <w:rFonts w:ascii="-webkit-standard" w:hAnsi="-webkit-standard"/>
          <w:b/>
          <w:bCs/>
          <w:color w:val="000000"/>
        </w:rPr>
      </w:pPr>
      <w:r w:rsidRPr="00BC0C1F">
        <w:rPr>
          <w:rFonts w:ascii="Century Gothic" w:hAnsi="Century Gothic"/>
          <w:b/>
          <w:bCs/>
          <w:color w:val="000000"/>
        </w:rPr>
        <w:t>ARGENTINA</w:t>
      </w:r>
      <w:r>
        <w:rPr>
          <w:rFonts w:ascii="Century Gothic" w:hAnsi="Century Gothic"/>
          <w:b/>
          <w:bCs/>
          <w:color w:val="000000"/>
        </w:rPr>
        <w:t>:</w:t>
      </w:r>
    </w:p>
    <w:p w:rsidR="00BC0C1F" w:rsidRPr="00BC0C1F" w:rsidRDefault="00BC0C1F" w:rsidP="00BC0C1F">
      <w:pPr>
        <w:pStyle w:val="NormalWeb"/>
        <w:spacing w:before="0" w:beforeAutospacing="0" w:after="160" w:afterAutospacing="0"/>
        <w:jc w:val="both"/>
        <w:rPr>
          <w:rFonts w:ascii="-webkit-standard" w:hAnsi="-webkit-standard"/>
          <w:color w:val="000000"/>
        </w:rPr>
      </w:pPr>
      <w:r w:rsidRPr="00BC0C1F">
        <w:rPr>
          <w:rFonts w:ascii="Century Gothic" w:hAnsi="Century Gothic"/>
          <w:color w:val="000000"/>
        </w:rPr>
        <w:t>De acuerdo con la ley penal 23.737, exceptuando el consumo, los demás actos relacionados con la producción (sea para consumo personal o venta), el comercio, el almacenamiento, el transporte y el hacer apología al uso de drogas es delito</w:t>
      </w:r>
      <w:r>
        <w:rPr>
          <w:rStyle w:val="Refdenotaalpie"/>
          <w:rFonts w:ascii="Century Gothic" w:hAnsi="Century Gothic"/>
          <w:color w:val="000000"/>
        </w:rPr>
        <w:footnoteReference w:id="3"/>
      </w:r>
      <w:r w:rsidRPr="00BC0C1F">
        <w:rPr>
          <w:rFonts w:ascii="Century Gothic" w:hAnsi="Century Gothic"/>
          <w:color w:val="000000"/>
        </w:rPr>
        <w:t xml:space="preserve">, pero esto no implica que el consumo en vía pública sea legalizado o permitido, de hecho, estas actividades deben realizarse en un espacio privado y con escasa cantidad. En ese mismo sentido, se aprobó la Ley 24.788, en la que se contempla que el consumo de bebidas alcohólicas en espacio público, en parques o estadios queda prohibido, esto teniendo en cuenta los efectos secundarios que tienen estas </w:t>
      </w:r>
      <w:r w:rsidRPr="00BC0C1F">
        <w:rPr>
          <w:rFonts w:ascii="Century Gothic" w:hAnsi="Century Gothic"/>
          <w:color w:val="000000"/>
        </w:rPr>
        <w:lastRenderedPageBreak/>
        <w:t>sustancias en las personas, y evitar que los menores de edad se vean influenciados por estas actuaciones.</w:t>
      </w:r>
    </w:p>
    <w:p w:rsidR="00BC0C1F" w:rsidRPr="00BC0C1F" w:rsidRDefault="00BC0C1F" w:rsidP="00BC0C1F">
      <w:pPr>
        <w:pStyle w:val="NormalWeb"/>
        <w:spacing w:before="0" w:beforeAutospacing="0" w:after="160" w:afterAutospacing="0"/>
        <w:jc w:val="both"/>
        <w:rPr>
          <w:rFonts w:ascii="-webkit-standard" w:hAnsi="-webkit-standard"/>
          <w:b/>
          <w:bCs/>
          <w:color w:val="000000"/>
        </w:rPr>
      </w:pPr>
      <w:r w:rsidRPr="00BC0C1F">
        <w:rPr>
          <w:rFonts w:ascii="Century Gothic" w:hAnsi="Century Gothic"/>
          <w:b/>
          <w:bCs/>
          <w:color w:val="000000"/>
        </w:rPr>
        <w:t>BRASIL</w:t>
      </w:r>
      <w:r>
        <w:rPr>
          <w:rFonts w:ascii="Century Gothic" w:hAnsi="Century Gothic"/>
          <w:b/>
          <w:bCs/>
          <w:color w:val="000000"/>
        </w:rPr>
        <w:t>:</w:t>
      </w:r>
    </w:p>
    <w:p w:rsidR="00BC0C1F" w:rsidRPr="00BC0C1F" w:rsidRDefault="00BC0C1F" w:rsidP="00BC0C1F">
      <w:pPr>
        <w:pStyle w:val="NormalWeb"/>
        <w:spacing w:before="0" w:beforeAutospacing="0" w:after="160" w:afterAutospacing="0"/>
        <w:jc w:val="both"/>
        <w:rPr>
          <w:rFonts w:ascii="-webkit-standard" w:hAnsi="-webkit-standard"/>
          <w:color w:val="000000"/>
        </w:rPr>
      </w:pPr>
      <w:r w:rsidRPr="00BC0C1F">
        <w:rPr>
          <w:rFonts w:ascii="Century Gothic" w:hAnsi="Century Gothic"/>
          <w:color w:val="000000"/>
        </w:rPr>
        <w:t>Cambios legislativos en 2002 y 2006 mediante la Ley de Drogas 11.343 del 23 de agosto de 2006, y el Código Penal, resultaron en una despenalización parcial de la posesión para uso personal. Las penas de prisión ya no se aplican y fueron sustituidas por medidas educativas y servicios comunitarios</w:t>
      </w:r>
      <w:r>
        <w:rPr>
          <w:rStyle w:val="Refdenotaalpie"/>
          <w:rFonts w:ascii="Century Gothic" w:hAnsi="Century Gothic"/>
          <w:color w:val="000000"/>
        </w:rPr>
        <w:footnoteReference w:id="4"/>
      </w:r>
      <w:r w:rsidRPr="00BC0C1F">
        <w:rPr>
          <w:rFonts w:ascii="Century Gothic" w:hAnsi="Century Gothic"/>
          <w:color w:val="000000"/>
        </w:rPr>
        <w:t>.</w:t>
      </w:r>
    </w:p>
    <w:p w:rsidR="00BC0C1F" w:rsidRPr="00BC0C1F" w:rsidRDefault="00BC0C1F" w:rsidP="00BC0C1F">
      <w:pPr>
        <w:pStyle w:val="NormalWeb"/>
        <w:spacing w:before="0" w:beforeAutospacing="0" w:after="160" w:afterAutospacing="0"/>
        <w:jc w:val="both"/>
        <w:rPr>
          <w:rFonts w:ascii="-webkit-standard" w:hAnsi="-webkit-standard"/>
          <w:color w:val="000000"/>
        </w:rPr>
      </w:pPr>
      <w:r w:rsidRPr="00BC0C1F">
        <w:rPr>
          <w:rFonts w:ascii="Century Gothic" w:hAnsi="Century Gothic"/>
          <w:color w:val="000000"/>
        </w:rPr>
        <w:t>Esta regulación se debe, entre otras cosas a que “En la franja etárea de 10 a 12 años, 41,2% de los estudiantes ya había consumido alcohol por lo menos una vez en la vida”</w:t>
      </w:r>
      <w:r>
        <w:rPr>
          <w:rStyle w:val="Refdenotaalpie"/>
          <w:rFonts w:ascii="Century Gothic" w:hAnsi="Century Gothic"/>
          <w:color w:val="000000"/>
        </w:rPr>
        <w:footnoteReference w:id="5"/>
      </w:r>
      <w:r w:rsidRPr="00BC0C1F">
        <w:rPr>
          <w:rFonts w:ascii="Century Gothic" w:hAnsi="Century Gothic"/>
          <w:color w:val="000000"/>
        </w:rPr>
        <w:t>, de modo que el porcentaje de menores de edad expuestos al consumo de sustancias alucinógenas es muy elevado, justificando con ello la adopción de medidas restrictivas; esta situación es similar a la Colombiana.</w:t>
      </w:r>
    </w:p>
    <w:p w:rsidR="00BC0C1F" w:rsidRPr="00BC0C1F" w:rsidRDefault="00BC0C1F" w:rsidP="00BC0C1F">
      <w:pPr>
        <w:pStyle w:val="NormalWeb"/>
        <w:spacing w:before="0" w:beforeAutospacing="0" w:after="160" w:afterAutospacing="0"/>
        <w:jc w:val="both"/>
        <w:rPr>
          <w:rFonts w:ascii="-webkit-standard" w:hAnsi="-webkit-standard"/>
          <w:b/>
          <w:bCs/>
          <w:color w:val="000000"/>
        </w:rPr>
      </w:pPr>
      <w:r w:rsidRPr="00BC0C1F">
        <w:rPr>
          <w:rFonts w:ascii="Century Gothic" w:hAnsi="Century Gothic"/>
          <w:b/>
          <w:bCs/>
          <w:color w:val="000000"/>
        </w:rPr>
        <w:t>CANADÁ</w:t>
      </w:r>
      <w:r>
        <w:rPr>
          <w:rFonts w:ascii="Century Gothic" w:hAnsi="Century Gothic"/>
          <w:b/>
          <w:bCs/>
          <w:color w:val="000000"/>
        </w:rPr>
        <w:t>:</w:t>
      </w:r>
    </w:p>
    <w:p w:rsidR="00BC0C1F" w:rsidRPr="00BC0C1F" w:rsidRDefault="00BC0C1F" w:rsidP="00BC0C1F">
      <w:pPr>
        <w:pStyle w:val="NormalWeb"/>
        <w:spacing w:before="0" w:beforeAutospacing="0" w:after="160" w:afterAutospacing="0"/>
        <w:jc w:val="both"/>
        <w:rPr>
          <w:rFonts w:ascii="-webkit-standard" w:hAnsi="-webkit-standard"/>
          <w:color w:val="000000"/>
        </w:rPr>
      </w:pPr>
      <w:r w:rsidRPr="00BC0C1F">
        <w:rPr>
          <w:rFonts w:ascii="Century Gothic" w:hAnsi="Century Gothic"/>
          <w:color w:val="000000"/>
        </w:rPr>
        <w:t>El cultivo de Cannabis es actualmente legal en Canadá, a pesar de que disfruta de una gran aceptación entre los habitantes del Territorio, por ello se han creado una especia de Coffee Shop, para que quienes pretendan consumir, lo hagan en un ambiente seguro, sin perturbar la tranquilidad de los terceros, lo mismo sucede con el consumo de alcohol en vía publica, pues solo se puede tomar en bares, pubs o restaurantes.</w:t>
      </w:r>
    </w:p>
    <w:p w:rsidR="00BC0C1F" w:rsidRPr="00BC0C1F" w:rsidRDefault="00BC0C1F" w:rsidP="00BC0C1F">
      <w:pPr>
        <w:pStyle w:val="NormalWeb"/>
        <w:spacing w:before="0" w:beforeAutospacing="0" w:after="160" w:afterAutospacing="0"/>
        <w:jc w:val="both"/>
        <w:rPr>
          <w:rFonts w:ascii="-webkit-standard" w:hAnsi="-webkit-standard"/>
          <w:b/>
          <w:bCs/>
          <w:color w:val="000000"/>
        </w:rPr>
      </w:pPr>
      <w:r w:rsidRPr="00BC0C1F">
        <w:rPr>
          <w:rFonts w:ascii="Century Gothic" w:hAnsi="Century Gothic"/>
          <w:b/>
          <w:bCs/>
          <w:color w:val="000000"/>
        </w:rPr>
        <w:t>CHILE</w:t>
      </w:r>
      <w:r>
        <w:rPr>
          <w:rFonts w:ascii="Century Gothic" w:hAnsi="Century Gothic"/>
          <w:b/>
          <w:bCs/>
          <w:color w:val="000000"/>
        </w:rPr>
        <w:t>:</w:t>
      </w:r>
    </w:p>
    <w:p w:rsidR="00BC0C1F" w:rsidRPr="00BC0C1F" w:rsidRDefault="00BC0C1F" w:rsidP="00BC0C1F">
      <w:pPr>
        <w:pStyle w:val="NormalWeb"/>
        <w:spacing w:before="0" w:beforeAutospacing="0" w:after="160" w:afterAutospacing="0"/>
        <w:jc w:val="both"/>
        <w:rPr>
          <w:rFonts w:ascii="-webkit-standard" w:hAnsi="-webkit-standard"/>
          <w:color w:val="000000"/>
        </w:rPr>
      </w:pPr>
      <w:r w:rsidRPr="00BC0C1F">
        <w:rPr>
          <w:rFonts w:ascii="Century Gothic" w:hAnsi="Century Gothic"/>
          <w:color w:val="000000"/>
        </w:rPr>
        <w:t>El consumo de drogas en Chile, a diferencia del narcotráfico, no es considerado delito; sin embargo, se sanciona como falta el que se haga en espacios públicos</w:t>
      </w:r>
      <w:r>
        <w:rPr>
          <w:rStyle w:val="Refdenotaalpie"/>
          <w:rFonts w:ascii="Century Gothic" w:hAnsi="Century Gothic"/>
          <w:color w:val="000000"/>
        </w:rPr>
        <w:footnoteReference w:id="6"/>
      </w:r>
      <w:r w:rsidRPr="00BC0C1F">
        <w:rPr>
          <w:rFonts w:ascii="Century Gothic" w:hAnsi="Century Gothic"/>
          <w:color w:val="000000"/>
        </w:rPr>
        <w:t>. En efecto, la Ley 20.000 sanciona el consumo de estupefacientes en la vía pública.</w:t>
      </w:r>
    </w:p>
    <w:p w:rsidR="00BC0C1F" w:rsidRPr="00BC0C1F" w:rsidRDefault="00BC0C1F" w:rsidP="00BC0C1F">
      <w:pPr>
        <w:pStyle w:val="NormalWeb"/>
        <w:spacing w:before="0" w:beforeAutospacing="0" w:after="160" w:afterAutospacing="0"/>
        <w:jc w:val="both"/>
        <w:rPr>
          <w:rFonts w:ascii="-webkit-standard" w:hAnsi="-webkit-standard"/>
          <w:color w:val="000000"/>
        </w:rPr>
      </w:pPr>
      <w:r w:rsidRPr="00BC0C1F">
        <w:rPr>
          <w:rFonts w:ascii="Century Gothic" w:hAnsi="Century Gothic"/>
          <w:color w:val="000000"/>
        </w:rPr>
        <w:t>Sobre el consumo de alcohol en la Calle, la Ley 19.925 prohíbe el consumo de bebidas alcohólicas en calles, caminos, plazas, paseos y demás lugares de uso público.</w:t>
      </w:r>
    </w:p>
    <w:p w:rsidR="00BC0C1F" w:rsidRPr="00BC0C1F" w:rsidRDefault="00BC0C1F" w:rsidP="00BC0C1F">
      <w:pPr>
        <w:pStyle w:val="NormalWeb"/>
        <w:spacing w:before="0" w:beforeAutospacing="0" w:after="160" w:afterAutospacing="0"/>
        <w:jc w:val="both"/>
        <w:rPr>
          <w:rFonts w:ascii="-webkit-standard" w:hAnsi="-webkit-standard"/>
          <w:b/>
          <w:bCs/>
          <w:color w:val="000000"/>
        </w:rPr>
      </w:pPr>
      <w:r w:rsidRPr="00BC0C1F">
        <w:rPr>
          <w:rFonts w:ascii="Century Gothic" w:hAnsi="Century Gothic"/>
          <w:b/>
          <w:bCs/>
          <w:color w:val="000000"/>
        </w:rPr>
        <w:t>PORTUGAL</w:t>
      </w:r>
      <w:r>
        <w:rPr>
          <w:rFonts w:ascii="Century Gothic" w:hAnsi="Century Gothic"/>
          <w:b/>
          <w:bCs/>
          <w:color w:val="000000"/>
        </w:rPr>
        <w:t>:</w:t>
      </w:r>
    </w:p>
    <w:p w:rsidR="00BC0C1F" w:rsidRPr="00BC0C1F" w:rsidRDefault="00BC0C1F" w:rsidP="00BC0C1F">
      <w:pPr>
        <w:pStyle w:val="NormalWeb"/>
        <w:spacing w:before="0" w:beforeAutospacing="0" w:after="160" w:afterAutospacing="0"/>
        <w:jc w:val="both"/>
        <w:rPr>
          <w:rFonts w:ascii="-webkit-standard" w:hAnsi="-webkit-standard"/>
          <w:color w:val="000000"/>
        </w:rPr>
      </w:pPr>
      <w:r w:rsidRPr="00BC0C1F">
        <w:rPr>
          <w:rFonts w:ascii="Century Gothic" w:hAnsi="Century Gothic"/>
          <w:color w:val="000000"/>
        </w:rPr>
        <w:t>Desde el año 1999 el consumo de drogas está despenalizado en el país, el enfoque que se le ha dado a la lucha contra este flagelo ha sido desde la perspectiva de la Salud Pública, pero el consumo de Drogas en la Vía pública no está permitido.</w:t>
      </w:r>
    </w:p>
    <w:p w:rsidR="00BE3162" w:rsidRDefault="00C00C6D">
      <w:pPr>
        <w:pBdr>
          <w:top w:val="nil"/>
          <w:left w:val="nil"/>
          <w:bottom w:val="nil"/>
          <w:right w:val="nil"/>
          <w:between w:val="nil"/>
        </w:pBdr>
        <w:spacing w:after="200"/>
        <w:ind w:left="720"/>
        <w:jc w:val="both"/>
        <w:rPr>
          <w:rFonts w:ascii="Century Gothic" w:eastAsia="Century Gothic" w:hAnsi="Century Gothic" w:cs="Century Gothic"/>
          <w:b/>
          <w:color w:val="000000"/>
        </w:rPr>
      </w:pPr>
      <w:r>
        <w:rPr>
          <w:rFonts w:ascii="Century Gothic" w:eastAsia="Century Gothic" w:hAnsi="Century Gothic" w:cs="Century Gothic"/>
          <w:b/>
          <w:color w:val="000000"/>
        </w:rPr>
        <w:lastRenderedPageBreak/>
        <w:t>4. ESTUDIOS O DOCUMENTOS DE INSTITUCIONES NACIONALES O</w:t>
      </w:r>
      <w:r>
        <w:rPr>
          <w:rFonts w:ascii="Century Gothic" w:eastAsia="Century Gothic" w:hAnsi="Century Gothic" w:cs="Century Gothic"/>
          <w:b/>
        </w:rPr>
        <w:t xml:space="preserve"> </w:t>
      </w:r>
      <w:r>
        <w:rPr>
          <w:rFonts w:ascii="Century Gothic" w:eastAsia="Century Gothic" w:hAnsi="Century Gothic" w:cs="Century Gothic"/>
          <w:b/>
          <w:color w:val="000000"/>
        </w:rPr>
        <w:t>EXTRANJERAS SOBRE EL TEMA</w:t>
      </w:r>
    </w:p>
    <w:p w:rsidR="00BE3162" w:rsidRDefault="00C00C6D">
      <w:pPr>
        <w:spacing w:after="160" w:line="276" w:lineRule="auto"/>
        <w:jc w:val="both"/>
        <w:rPr>
          <w:rFonts w:ascii="Century Gothic" w:eastAsia="Century Gothic" w:hAnsi="Century Gothic" w:cs="Century Gothic"/>
        </w:rPr>
      </w:pPr>
      <w:r>
        <w:rPr>
          <w:rFonts w:ascii="Century Gothic" w:eastAsia="Century Gothic" w:hAnsi="Century Gothic" w:cs="Century Gothic"/>
        </w:rPr>
        <w:t xml:space="preserve">En atención al proyecto de ley presentado, es necesario precisar sobre los conceptos que se han emitido sobre la relación que existe entre el consumo de alcohol, sustancias psicoactivas con los lugares públicos en donde se encuentren presentes menores de edad y cómo estas sustancias están afectando la vida y salud de los menores. </w:t>
      </w:r>
    </w:p>
    <w:p w:rsidR="00BE3162" w:rsidRDefault="00C00C6D">
      <w:pPr>
        <w:spacing w:after="160" w:line="276" w:lineRule="auto"/>
        <w:jc w:val="both"/>
        <w:rPr>
          <w:rFonts w:ascii="Century Gothic" w:eastAsia="Century Gothic" w:hAnsi="Century Gothic" w:cs="Century Gothic"/>
        </w:rPr>
      </w:pPr>
      <w:r>
        <w:rPr>
          <w:rFonts w:ascii="Century Gothic" w:eastAsia="Century Gothic" w:hAnsi="Century Gothic" w:cs="Century Gothic"/>
        </w:rPr>
        <w:t>En este sentido, dentro de un estudio realizado en el año 2014 por el Ministerio de Justicia y Derecho “Informe Final- Estudio Nacional de Consumo de Sustancias Psicoactivas en Colombia” se pone de presente la necesidad de rediseñar una política pública encaminada a salvaguardar a los menores de edad que se encuentren expuestos al consumo de alcohol, pues señala que “Llama la atención el reporte de consumo de bebidas alcohólicas en el 20% de la población con edades entre 12 y 17 años, siendo que está prohibida la venta de alcohol a menores de edad y que el consumo de alcohol en esta población es particularmente riesgoso. Los resultados sugieren la necesidad de reforzar la conciencia social en torno al acceso al alcohol de los menores de edad, no sólo en el comercio, sino en los mismos hogares”</w:t>
      </w:r>
      <w:r>
        <w:rPr>
          <w:rFonts w:ascii="Century Gothic" w:eastAsia="Century Gothic" w:hAnsi="Century Gothic" w:cs="Century Gothic"/>
          <w:vertAlign w:val="superscript"/>
        </w:rPr>
        <w:footnoteReference w:id="7"/>
      </w:r>
      <w:r>
        <w:rPr>
          <w:rFonts w:ascii="Century Gothic" w:eastAsia="Century Gothic" w:hAnsi="Century Gothic" w:cs="Century Gothic"/>
        </w:rPr>
        <w:t>.</w:t>
      </w:r>
    </w:p>
    <w:p w:rsidR="00BE3162" w:rsidRDefault="00C00C6D">
      <w:pPr>
        <w:spacing w:after="160" w:line="276" w:lineRule="auto"/>
        <w:jc w:val="both"/>
        <w:rPr>
          <w:rFonts w:ascii="Century Gothic" w:eastAsia="Century Gothic" w:hAnsi="Century Gothic" w:cs="Century Gothic"/>
        </w:rPr>
      </w:pPr>
      <w:r>
        <w:rPr>
          <w:rFonts w:ascii="Century Gothic" w:eastAsia="Century Gothic" w:hAnsi="Century Gothic" w:cs="Century Gothic"/>
        </w:rPr>
        <w:t xml:space="preserve">Así mismo, un informe presentado en el año 2016 por el Observatorio de Drogas de Colombia, el Ministerio de Justicia y del Derecho, El Ministerio de Educación Nacional y el Ministerio de Salud y Protección Social “Estudio Nacional de Consumo de Sustancias Psicoactivas en Población Escolar”, arrojó que 1 de cada 2 estudiantes con edades entre los 17 y 18 años manifestó haber consumido alguna bebida alcohólica dentro del último mes; de otro lado, 1 de cada 4 estudiantes con edades entre los 12 y 14 años manifestó haber consumido alcohol dentro del mismo periodo de tiempo. Es por esto, que el informe, insta a “fortalecer los programas de prevención de consumo de alcohol y tabaco en el ámbito escolar, esas dos sustancias son las más prevalentes entre los estudiantes escolares” </w:t>
      </w:r>
    </w:p>
    <w:p w:rsidR="00BE3162" w:rsidRDefault="00C00C6D">
      <w:pPr>
        <w:spacing w:after="160" w:line="276" w:lineRule="auto"/>
        <w:jc w:val="both"/>
        <w:rPr>
          <w:rFonts w:ascii="Century Gothic" w:eastAsia="Century Gothic" w:hAnsi="Century Gothic" w:cs="Century Gothic"/>
        </w:rPr>
      </w:pPr>
      <w:r>
        <w:rPr>
          <w:rFonts w:ascii="Century Gothic" w:eastAsia="Century Gothic" w:hAnsi="Century Gothic" w:cs="Century Gothic"/>
        </w:rPr>
        <w:t xml:space="preserve">De igual forma, en lo que tiene que ver con las sustancias psicoactivas, el mencionado informe, aporta datos relevantes sobre el consumo de </w:t>
      </w:r>
      <w:r>
        <w:rPr>
          <w:rFonts w:ascii="Century Gothic" w:eastAsia="Century Gothic" w:hAnsi="Century Gothic" w:cs="Century Gothic"/>
        </w:rPr>
        <w:lastRenderedPageBreak/>
        <w:t xml:space="preserve">marihuana, pues señala que 7 de cada 10 estudiantes manifestaron haber consumido esta sustancia dentro del último año. Adicionalmente, se señala que “la Marihuana es la sustancia ilícita que el mayor porcentaje de los estudiantes declara conseguir con facilidad, seguida del basuco, la cocaína, los inhalables y el éxtasis (37.3%, 12.4%, 12%, 8,5%, y 7% respectivamente) </w:t>
      </w:r>
    </w:p>
    <w:p w:rsidR="00BE3162" w:rsidRDefault="00C00C6D">
      <w:pPr>
        <w:spacing w:after="160" w:line="276" w:lineRule="auto"/>
        <w:jc w:val="both"/>
        <w:rPr>
          <w:rFonts w:ascii="Century Gothic" w:eastAsia="Century Gothic" w:hAnsi="Century Gothic" w:cs="Century Gothic"/>
        </w:rPr>
      </w:pPr>
      <w:r>
        <w:rPr>
          <w:rFonts w:ascii="Century Gothic" w:eastAsia="Century Gothic" w:hAnsi="Century Gothic" w:cs="Century Gothic"/>
        </w:rPr>
        <w:t>Por otra parte, una investigación realizada por el Ministerio de Justicia y Derecho, el Ministerio de Educación y El Ministerio de Salud y Protección Social “Estudio Nacional de Consumo de Sustancias psicoactivas en Poblacion Escolar Colombia – 2011”</w:t>
      </w:r>
      <w:r>
        <w:rPr>
          <w:rFonts w:ascii="Century Gothic" w:eastAsia="Century Gothic" w:hAnsi="Century Gothic" w:cs="Century Gothic"/>
          <w:vertAlign w:val="superscript"/>
        </w:rPr>
        <w:footnoteReference w:id="8"/>
      </w:r>
      <w:r>
        <w:rPr>
          <w:rFonts w:ascii="Century Gothic" w:eastAsia="Century Gothic" w:hAnsi="Century Gothic" w:cs="Century Gothic"/>
        </w:rPr>
        <w:t xml:space="preserve">, advierte sobre la necesidad de adoptar programas encaminados a prevenir el consumo de drogas de las edades tempranas, pues se alude que: “el estudio permitió constatar casos de inicios muy tempranos de consumo de sustancias tanto lícitas como ilícitas. Este Resultado señala la necesidad de afianzar los programas preventivos sobre drogas desde edades más tempranas o cursos inferiores como el quinto grado.” </w:t>
      </w:r>
    </w:p>
    <w:p w:rsidR="00BE3162" w:rsidRDefault="00C00C6D">
      <w:pPr>
        <w:spacing w:after="160" w:line="276" w:lineRule="auto"/>
        <w:jc w:val="both"/>
        <w:rPr>
          <w:rFonts w:ascii="Century Gothic" w:eastAsia="Century Gothic" w:hAnsi="Century Gothic" w:cs="Century Gothic"/>
        </w:rPr>
      </w:pPr>
      <w:r>
        <w:rPr>
          <w:rFonts w:ascii="Century Gothic" w:eastAsia="Century Gothic" w:hAnsi="Century Gothic" w:cs="Century Gothic"/>
        </w:rPr>
        <w:t xml:space="preserve">Adicionalmente, la citada investigación hace referencia también a la necesidad de prevenir mediante políticas efectivas el consumo del alcohol “El consumo de bebidas alcohólicas se evidencia en un porcentaje importante de niños con edades desde los 11 años, lo cual debería generar acciones contundentes” </w:t>
      </w:r>
    </w:p>
    <w:p w:rsidR="00BE3162" w:rsidRDefault="00C00C6D">
      <w:pPr>
        <w:spacing w:after="160" w:line="276" w:lineRule="auto"/>
        <w:jc w:val="both"/>
        <w:rPr>
          <w:rFonts w:ascii="Century Gothic" w:eastAsia="Century Gothic" w:hAnsi="Century Gothic" w:cs="Century Gothic"/>
        </w:rPr>
      </w:pPr>
      <w:r>
        <w:rPr>
          <w:rFonts w:ascii="Century Gothic" w:eastAsia="Century Gothic" w:hAnsi="Century Gothic" w:cs="Century Gothic"/>
        </w:rPr>
        <w:t>De esta misma forma, en un estudio realizado por la Corporación Nuevos Rumbos “Consumo de alcohol en menores de 18 años en Colombia: 2008 un Estudio con Jóvenes Escolarizados de 12 a 17 años en 7 capitales de departamento y dos municipios pequeños”</w:t>
      </w:r>
      <w:r>
        <w:rPr>
          <w:rFonts w:ascii="Century Gothic" w:eastAsia="Century Gothic" w:hAnsi="Century Gothic" w:cs="Century Gothic"/>
          <w:vertAlign w:val="superscript"/>
        </w:rPr>
        <w:footnoteReference w:id="9"/>
      </w:r>
      <w:r>
        <w:rPr>
          <w:rFonts w:ascii="Century Gothic" w:eastAsia="Century Gothic" w:hAnsi="Century Gothic" w:cs="Century Gothic"/>
        </w:rPr>
        <w:t xml:space="preserve"> se anota, que:  “el consumo de alcohol en los menores de edad es un asunto de gran importancia en Colombia: cerca del 90% de estos jóvenes ha consumido alcohol, cerca del </w:t>
      </w:r>
      <w:r>
        <w:rPr>
          <w:rFonts w:ascii="Century Gothic" w:eastAsia="Century Gothic" w:hAnsi="Century Gothic" w:cs="Century Gothic"/>
        </w:rPr>
        <w:lastRenderedPageBreak/>
        <w:t>70% lo hizo el último año (bebedores activos), 28% tomó alcohol en el último mes (lo que indica un consumo más frecuente) y 13% en la última semana (probables bebedores problemáticos)”.</w:t>
      </w:r>
    </w:p>
    <w:p w:rsidR="00BE3162" w:rsidRDefault="00C00C6D">
      <w:pPr>
        <w:spacing w:after="160" w:line="276" w:lineRule="auto"/>
        <w:jc w:val="both"/>
        <w:rPr>
          <w:rFonts w:ascii="Century Gothic" w:eastAsia="Century Gothic" w:hAnsi="Century Gothic" w:cs="Century Gothic"/>
        </w:rPr>
      </w:pPr>
      <w:r>
        <w:rPr>
          <w:rFonts w:ascii="Century Gothic" w:eastAsia="Century Gothic" w:hAnsi="Century Gothic" w:cs="Century Gothic"/>
        </w:rPr>
        <w:t>Finalmente, la directora del Programa de Desarrollo Psicoafectivo y Educación Emocional Pisotón, Ana Rita Russo, señaló respecto al fallo emitido por la Corte Constitucional el 16 de abril de 2018, sobre una demanda de inconstitucionalidad en donde se derogó los artículos 33 y 140 del Código de Policía, los cuales prohibía del consumo de bebidas alcohólicas  y sustancias psicoactivas en espacio público, que “Un ambiente sano para un niño no puede ser aquel en el que haya riesgos a nivel emocional y social, y que limite sus desplazamientos de manera confiada y segura, por el temor que pueda generar sobre las familias, cuidadores y en el niño mismo. La decisión de la Corte, aunque permite la libre expresión de quienes han estructurado una personalidad o acciones de ella, me parece desconoce el desarrollo de quienes están en proceso de estructuración de la misma: los niños y las niñas”</w:t>
      </w:r>
      <w:r>
        <w:rPr>
          <w:rFonts w:ascii="Century Gothic" w:eastAsia="Century Gothic" w:hAnsi="Century Gothic" w:cs="Century Gothic"/>
          <w:vertAlign w:val="superscript"/>
        </w:rPr>
        <w:footnoteReference w:id="10"/>
      </w:r>
      <w:r>
        <w:rPr>
          <w:rFonts w:ascii="Century Gothic" w:eastAsia="Century Gothic" w:hAnsi="Century Gothic" w:cs="Century Gothic"/>
        </w:rPr>
        <w:t>.</w:t>
      </w:r>
    </w:p>
    <w:p w:rsidR="00BE3162" w:rsidRDefault="00C00C6D">
      <w:pPr>
        <w:pBdr>
          <w:top w:val="nil"/>
          <w:left w:val="nil"/>
          <w:bottom w:val="nil"/>
          <w:right w:val="nil"/>
          <w:between w:val="nil"/>
        </w:pBdr>
        <w:spacing w:after="200"/>
        <w:rPr>
          <w:rFonts w:ascii="Century Gothic" w:eastAsia="Century Gothic" w:hAnsi="Century Gothic" w:cs="Century Gothic"/>
          <w:b/>
        </w:rPr>
      </w:pPr>
      <w:r>
        <w:rPr>
          <w:rFonts w:ascii="Century Gothic" w:eastAsia="Century Gothic" w:hAnsi="Century Gothic" w:cs="Century Gothic"/>
          <w:b/>
        </w:rPr>
        <w:t>5. BIBLIOGRAFÍA</w:t>
      </w:r>
    </w:p>
    <w:p w:rsidR="00BE3162" w:rsidRDefault="00C00C6D">
      <w:pPr>
        <w:pBdr>
          <w:top w:val="nil"/>
          <w:left w:val="nil"/>
          <w:bottom w:val="nil"/>
          <w:right w:val="nil"/>
          <w:between w:val="nil"/>
        </w:pBdr>
        <w:spacing w:after="200"/>
        <w:jc w:val="both"/>
        <w:rPr>
          <w:rFonts w:ascii="Century Gothic" w:eastAsia="Century Gothic" w:hAnsi="Century Gothic" w:cs="Century Gothic"/>
        </w:rPr>
      </w:pPr>
      <w:r>
        <w:rPr>
          <w:rFonts w:ascii="Century Gothic" w:eastAsia="Century Gothic" w:hAnsi="Century Gothic" w:cs="Century Gothic"/>
        </w:rPr>
        <w:t>Alexy, R. (1993). Teoría de los Derechos Fundamentales. Centro de Estudios Internacionales, Madrid, España.</w:t>
      </w:r>
    </w:p>
    <w:p w:rsidR="00BE3162" w:rsidRDefault="00C00C6D">
      <w:pPr>
        <w:pBdr>
          <w:top w:val="nil"/>
          <w:left w:val="nil"/>
          <w:bottom w:val="nil"/>
          <w:right w:val="nil"/>
          <w:between w:val="nil"/>
        </w:pBdr>
        <w:spacing w:after="200"/>
        <w:jc w:val="both"/>
        <w:rPr>
          <w:rFonts w:ascii="Century Gothic" w:eastAsia="Century Gothic" w:hAnsi="Century Gothic" w:cs="Century Gothic"/>
        </w:rPr>
      </w:pPr>
      <w:r w:rsidRPr="00407762">
        <w:rPr>
          <w:rFonts w:ascii="Century Gothic" w:eastAsia="Century Gothic" w:hAnsi="Century Gothic" w:cs="Century Gothic"/>
          <w:lang w:val="en-US"/>
        </w:rPr>
        <w:t>Fergusson D.M., Boden J.M., &amp; Horwood L.J. (2006).</w:t>
      </w:r>
      <w:r w:rsidRPr="00407762">
        <w:rPr>
          <w:rFonts w:ascii="Century Gothic" w:eastAsia="Century Gothic" w:hAnsi="Century Gothic" w:cs="Century Gothic"/>
          <w:b/>
          <w:lang w:val="en-US"/>
        </w:rPr>
        <w:t xml:space="preserve"> </w:t>
      </w:r>
      <w:r w:rsidRPr="00407762">
        <w:rPr>
          <w:rFonts w:ascii="Century Gothic" w:eastAsia="Century Gothic" w:hAnsi="Century Gothic" w:cs="Century Gothic"/>
          <w:i/>
          <w:lang w:val="en-US"/>
        </w:rPr>
        <w:t>“Cannabis use and other illicit drug use: testing the cannabis gateway hypothesis”</w:t>
      </w:r>
      <w:r w:rsidRPr="00407762">
        <w:rPr>
          <w:rFonts w:ascii="Century Gothic" w:eastAsia="Century Gothic" w:hAnsi="Century Gothic" w:cs="Century Gothic"/>
          <w:lang w:val="en-US"/>
        </w:rPr>
        <w:t xml:space="preserve">. </w:t>
      </w:r>
      <w:r>
        <w:rPr>
          <w:rFonts w:ascii="Century Gothic" w:eastAsia="Century Gothic" w:hAnsi="Century Gothic" w:cs="Century Gothic"/>
        </w:rPr>
        <w:t>Addiction. Apr;101(4):556-69. 2006.</w:t>
      </w:r>
    </w:p>
    <w:p w:rsidR="00BE3162" w:rsidRDefault="00C00C6D">
      <w:pPr>
        <w:pBdr>
          <w:top w:val="nil"/>
          <w:left w:val="nil"/>
          <w:bottom w:val="nil"/>
          <w:right w:val="nil"/>
          <w:between w:val="nil"/>
        </w:pBdr>
        <w:spacing w:after="200"/>
        <w:jc w:val="both"/>
        <w:rPr>
          <w:rFonts w:ascii="Century Gothic" w:eastAsia="Century Gothic" w:hAnsi="Century Gothic" w:cs="Century Gothic"/>
        </w:rPr>
      </w:pPr>
      <w:r>
        <w:rPr>
          <w:rFonts w:ascii="Century Gothic" w:eastAsia="Century Gothic" w:hAnsi="Century Gothic" w:cs="Century Gothic"/>
        </w:rPr>
        <w:t xml:space="preserve">Maturana, A. (2011). </w:t>
      </w:r>
      <w:r>
        <w:rPr>
          <w:rFonts w:ascii="Century Gothic" w:eastAsia="Century Gothic" w:hAnsi="Century Gothic" w:cs="Century Gothic"/>
          <w:i/>
        </w:rPr>
        <w:t>“Consumo de alcohol y drogas en adolescentes”</w:t>
      </w:r>
      <w:r>
        <w:rPr>
          <w:rFonts w:ascii="Century Gothic" w:eastAsia="Century Gothic" w:hAnsi="Century Gothic" w:cs="Century Gothic"/>
          <w:b/>
        </w:rPr>
        <w:t xml:space="preserve">. </w:t>
      </w:r>
      <w:r>
        <w:rPr>
          <w:rFonts w:ascii="Century Gothic" w:eastAsia="Century Gothic" w:hAnsi="Century Gothic" w:cs="Century Gothic"/>
        </w:rPr>
        <w:t>Departamento de Psiquiatría. Unidad de Psiquiatría Infantojuvenil. [Rev. MED. CONDES - 2011; 22(1) 98-109]</w:t>
      </w:r>
    </w:p>
    <w:p w:rsidR="00BE3162" w:rsidRDefault="00C00C6D">
      <w:pPr>
        <w:pBdr>
          <w:top w:val="nil"/>
          <w:left w:val="nil"/>
          <w:bottom w:val="nil"/>
          <w:right w:val="nil"/>
          <w:between w:val="nil"/>
        </w:pBdr>
        <w:spacing w:after="200"/>
        <w:jc w:val="both"/>
        <w:rPr>
          <w:rFonts w:ascii="Century Gothic" w:eastAsia="Century Gothic" w:hAnsi="Century Gothic" w:cs="Century Gothic"/>
        </w:rPr>
      </w:pPr>
      <w:r>
        <w:rPr>
          <w:rFonts w:ascii="Century Gothic" w:eastAsia="Century Gothic" w:hAnsi="Century Gothic" w:cs="Century Gothic"/>
        </w:rPr>
        <w:t xml:space="preserve">Observatorio del delito de la Policía Nacional. (2011). </w:t>
      </w:r>
      <w:r>
        <w:rPr>
          <w:rFonts w:ascii="Century Gothic" w:eastAsia="Century Gothic" w:hAnsi="Century Gothic" w:cs="Century Gothic"/>
          <w:i/>
        </w:rPr>
        <w:t>“Investigación Criminológica”</w:t>
      </w:r>
      <w:r>
        <w:rPr>
          <w:rFonts w:ascii="Century Gothic" w:eastAsia="Century Gothic" w:hAnsi="Century Gothic" w:cs="Century Gothic"/>
        </w:rPr>
        <w:t>. Publicación de la Policía Nacional de Colombia ISSN 2256-1005 (Investig. Criminol.) Volumen II, Número 2, diciembre 2011 Periodicidad semestral.</w:t>
      </w:r>
    </w:p>
    <w:p w:rsidR="00BE3162" w:rsidRDefault="00C00C6D">
      <w:pPr>
        <w:pBdr>
          <w:top w:val="nil"/>
          <w:left w:val="nil"/>
          <w:bottom w:val="nil"/>
          <w:right w:val="nil"/>
          <w:between w:val="nil"/>
        </w:pBdr>
        <w:spacing w:after="200"/>
        <w:jc w:val="both"/>
        <w:rPr>
          <w:rFonts w:ascii="Century Gothic" w:eastAsia="Century Gothic" w:hAnsi="Century Gothic" w:cs="Century Gothic"/>
        </w:rPr>
      </w:pPr>
      <w:r>
        <w:rPr>
          <w:rFonts w:ascii="Century Gothic" w:eastAsia="Century Gothic" w:hAnsi="Century Gothic" w:cs="Century Gothic"/>
        </w:rPr>
        <w:t>Oficina de las Naciones Unidas Contra la Droga y el Delito (UNODC). (diciembre, 2013). “</w:t>
      </w:r>
      <w:r>
        <w:rPr>
          <w:rFonts w:ascii="Century Gothic" w:eastAsia="Century Gothic" w:hAnsi="Century Gothic" w:cs="Century Gothic"/>
          <w:i/>
        </w:rPr>
        <w:t xml:space="preserve">Abuso de drogas en adolescentes y jóvenes y </w:t>
      </w:r>
      <w:r>
        <w:rPr>
          <w:rFonts w:ascii="Century Gothic" w:eastAsia="Century Gothic" w:hAnsi="Century Gothic" w:cs="Century Gothic"/>
          <w:i/>
        </w:rPr>
        <w:lastRenderedPageBreak/>
        <w:t xml:space="preserve">vulnerabilidad familiar”. </w:t>
      </w:r>
      <w:r>
        <w:rPr>
          <w:rFonts w:ascii="Century Gothic" w:eastAsia="Century Gothic" w:hAnsi="Century Gothic" w:cs="Century Gothic"/>
        </w:rPr>
        <w:t xml:space="preserve">Centro de Información y Educación para la prevención del abuso de drogas. </w:t>
      </w:r>
    </w:p>
    <w:p w:rsidR="00BE3162" w:rsidRDefault="00C00C6D">
      <w:pPr>
        <w:pBdr>
          <w:top w:val="nil"/>
          <w:left w:val="nil"/>
          <w:bottom w:val="nil"/>
          <w:right w:val="nil"/>
          <w:between w:val="nil"/>
        </w:pBdr>
        <w:spacing w:after="200"/>
        <w:rPr>
          <w:rFonts w:ascii="Century Gothic" w:eastAsia="Century Gothic" w:hAnsi="Century Gothic" w:cs="Century Gothic"/>
          <w:b/>
          <w:color w:val="000000"/>
        </w:rPr>
      </w:pPr>
      <w:r>
        <w:rPr>
          <w:rFonts w:ascii="Century Gothic" w:eastAsia="Century Gothic" w:hAnsi="Century Gothic" w:cs="Century Gothic"/>
          <w:b/>
          <w:color w:val="000000"/>
        </w:rPr>
        <w:t>V. PLIEGO DE MODIFICACIONES</w:t>
      </w:r>
    </w:p>
    <w:tbl>
      <w:tblPr>
        <w:tblStyle w:val="a0"/>
        <w:tblW w:w="907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50"/>
        <w:gridCol w:w="4725"/>
      </w:tblGrid>
      <w:tr w:rsidR="00BE3162">
        <w:tc>
          <w:tcPr>
            <w:tcW w:w="4350" w:type="dxa"/>
          </w:tcPr>
          <w:p w:rsidR="00BE3162" w:rsidRDefault="00C00C6D">
            <w:pPr>
              <w:pBdr>
                <w:top w:val="nil"/>
                <w:left w:val="nil"/>
                <w:bottom w:val="nil"/>
                <w:right w:val="nil"/>
                <w:between w:val="nil"/>
              </w:pBdr>
              <w:spacing w:after="200"/>
              <w:jc w:val="center"/>
              <w:rPr>
                <w:rFonts w:ascii="Century Gothic" w:eastAsia="Century Gothic" w:hAnsi="Century Gothic" w:cs="Century Gothic"/>
                <w:b/>
                <w:color w:val="000000"/>
              </w:rPr>
            </w:pPr>
            <w:r>
              <w:rPr>
                <w:rFonts w:ascii="Century Gothic" w:eastAsia="Century Gothic" w:hAnsi="Century Gothic" w:cs="Century Gothic"/>
                <w:b/>
                <w:color w:val="000000"/>
              </w:rPr>
              <w:t>PROYECTO DE LEY 004 DE 2019</w:t>
            </w:r>
          </w:p>
        </w:tc>
        <w:tc>
          <w:tcPr>
            <w:tcW w:w="4725" w:type="dxa"/>
          </w:tcPr>
          <w:p w:rsidR="00BE3162" w:rsidRDefault="00C00C6D">
            <w:pPr>
              <w:pBdr>
                <w:top w:val="nil"/>
                <w:left w:val="nil"/>
                <w:bottom w:val="nil"/>
                <w:right w:val="nil"/>
                <w:between w:val="nil"/>
              </w:pBdr>
              <w:spacing w:after="200"/>
              <w:jc w:val="center"/>
              <w:rPr>
                <w:rFonts w:ascii="Century Gothic" w:eastAsia="Century Gothic" w:hAnsi="Century Gothic" w:cs="Century Gothic"/>
                <w:b/>
                <w:color w:val="000000"/>
              </w:rPr>
            </w:pPr>
            <w:r>
              <w:rPr>
                <w:rFonts w:ascii="Century Gothic" w:eastAsia="Century Gothic" w:hAnsi="Century Gothic" w:cs="Century Gothic"/>
                <w:b/>
                <w:color w:val="000000"/>
              </w:rPr>
              <w:t>TEXTO PROPUESTO PARA PRIMER DEBATE CÁMARA</w:t>
            </w:r>
          </w:p>
        </w:tc>
      </w:tr>
      <w:tr w:rsidR="00BE3162">
        <w:trPr>
          <w:trHeight w:val="2400"/>
        </w:trPr>
        <w:tc>
          <w:tcPr>
            <w:tcW w:w="4350" w:type="dxa"/>
          </w:tcPr>
          <w:p w:rsidR="00BE3162" w:rsidRDefault="00C00C6D">
            <w:pPr>
              <w:pBdr>
                <w:top w:val="nil"/>
                <w:left w:val="nil"/>
                <w:bottom w:val="nil"/>
                <w:right w:val="nil"/>
                <w:between w:val="nil"/>
              </w:pBdr>
              <w:spacing w:after="200"/>
              <w:jc w:val="center"/>
              <w:rPr>
                <w:rFonts w:ascii="Century Gothic" w:eastAsia="Century Gothic" w:hAnsi="Century Gothic" w:cs="Century Gothic"/>
                <w:b/>
                <w:color w:val="000000"/>
              </w:rPr>
            </w:pPr>
            <w:r>
              <w:rPr>
                <w:rFonts w:ascii="Century Gothic" w:eastAsia="Century Gothic" w:hAnsi="Century Gothic" w:cs="Century Gothic"/>
                <w:i/>
                <w:color w:val="000000"/>
              </w:rPr>
              <w:t>“Por medio de la cual se prohíbe el porte y consumo de sustancias alcohólicas y alucinógenas o prohibidas, en lugares públicos educativos y recreativos, donde se encuentren presentes menores de edad.”</w:t>
            </w:r>
          </w:p>
        </w:tc>
        <w:tc>
          <w:tcPr>
            <w:tcW w:w="4725" w:type="dxa"/>
          </w:tcPr>
          <w:p w:rsidR="00BE3162" w:rsidRDefault="00C00C6D">
            <w:pPr>
              <w:pBdr>
                <w:top w:val="nil"/>
                <w:left w:val="nil"/>
                <w:bottom w:val="nil"/>
                <w:right w:val="nil"/>
                <w:between w:val="nil"/>
              </w:pBdr>
              <w:spacing w:after="200"/>
              <w:jc w:val="center"/>
              <w:rPr>
                <w:rFonts w:ascii="Century Gothic" w:eastAsia="Century Gothic" w:hAnsi="Century Gothic" w:cs="Century Gothic"/>
                <w:i/>
                <w:color w:val="000000"/>
              </w:rPr>
            </w:pPr>
            <w:r>
              <w:rPr>
                <w:rFonts w:ascii="Century Gothic" w:eastAsia="Century Gothic" w:hAnsi="Century Gothic" w:cs="Century Gothic"/>
                <w:i/>
                <w:color w:val="000000"/>
              </w:rPr>
              <w:t xml:space="preserve">“Por medio </w:t>
            </w:r>
            <w:r>
              <w:rPr>
                <w:rFonts w:ascii="Century Gothic" w:eastAsia="Century Gothic" w:hAnsi="Century Gothic" w:cs="Century Gothic"/>
                <w:i/>
              </w:rPr>
              <w:t>de la</w:t>
            </w:r>
            <w:r>
              <w:rPr>
                <w:rFonts w:ascii="Century Gothic" w:eastAsia="Century Gothic" w:hAnsi="Century Gothic" w:cs="Century Gothic"/>
                <w:i/>
                <w:color w:val="000000"/>
              </w:rPr>
              <w:t xml:space="preserve"> cual </w:t>
            </w:r>
            <w:r>
              <w:rPr>
                <w:rFonts w:ascii="Century Gothic" w:eastAsia="Century Gothic" w:hAnsi="Century Gothic" w:cs="Century Gothic"/>
                <w:color w:val="000000"/>
              </w:rPr>
              <w:t>se modific</w:t>
            </w:r>
            <w:r>
              <w:rPr>
                <w:rFonts w:ascii="Century Gothic" w:eastAsia="Century Gothic" w:hAnsi="Century Gothic" w:cs="Century Gothic"/>
              </w:rPr>
              <w:t xml:space="preserve">a la Ley 1801 de 2016 y se prohíbe </w:t>
            </w:r>
            <w:r>
              <w:rPr>
                <w:rFonts w:ascii="Century Gothic" w:eastAsia="Century Gothic" w:hAnsi="Century Gothic" w:cs="Century Gothic"/>
                <w:color w:val="000000"/>
              </w:rPr>
              <w:t xml:space="preserve">el consumo de sustancias </w:t>
            </w:r>
            <w:r>
              <w:rPr>
                <w:rFonts w:ascii="Century Gothic" w:eastAsia="Century Gothic" w:hAnsi="Century Gothic" w:cs="Century Gothic"/>
              </w:rPr>
              <w:t>alcohólicas</w:t>
            </w:r>
            <w:r>
              <w:rPr>
                <w:rFonts w:ascii="Century Gothic" w:eastAsia="Century Gothic" w:hAnsi="Century Gothic" w:cs="Century Gothic"/>
                <w:color w:val="000000"/>
              </w:rPr>
              <w:t xml:space="preserve">, estupefacientes, sicotrópicas o </w:t>
            </w:r>
            <w:r>
              <w:rPr>
                <w:rFonts w:ascii="Century Gothic" w:eastAsia="Century Gothic" w:hAnsi="Century Gothic" w:cs="Century Gothic"/>
              </w:rPr>
              <w:t>prohibidas</w:t>
            </w:r>
            <w:r>
              <w:rPr>
                <w:rFonts w:ascii="Century Gothic" w:eastAsia="Century Gothic" w:hAnsi="Century Gothic" w:cs="Century Gothic"/>
                <w:color w:val="000000"/>
              </w:rPr>
              <w:t xml:space="preserve"> en presencia de </w:t>
            </w:r>
            <w:r>
              <w:rPr>
                <w:rFonts w:ascii="Century Gothic" w:eastAsia="Century Gothic" w:hAnsi="Century Gothic" w:cs="Century Gothic"/>
                <w:i/>
                <w:color w:val="000000"/>
              </w:rPr>
              <w:t>menores de edad”</w:t>
            </w:r>
          </w:p>
          <w:p w:rsidR="00BE3162" w:rsidRDefault="00BE3162">
            <w:pPr>
              <w:pBdr>
                <w:top w:val="nil"/>
                <w:left w:val="nil"/>
                <w:bottom w:val="nil"/>
                <w:right w:val="nil"/>
                <w:between w:val="nil"/>
              </w:pBdr>
              <w:spacing w:after="200"/>
              <w:jc w:val="center"/>
              <w:rPr>
                <w:rFonts w:ascii="Century Gothic" w:eastAsia="Century Gothic" w:hAnsi="Century Gothic" w:cs="Century Gothic"/>
                <w:b/>
                <w:color w:val="000000"/>
              </w:rPr>
            </w:pPr>
          </w:p>
        </w:tc>
      </w:tr>
      <w:tr w:rsidR="00BE3162">
        <w:tc>
          <w:tcPr>
            <w:tcW w:w="4350" w:type="dxa"/>
          </w:tcPr>
          <w:p w:rsidR="00BE3162" w:rsidRDefault="00C00C6D">
            <w:pPr>
              <w:pBdr>
                <w:top w:val="nil"/>
                <w:left w:val="nil"/>
                <w:bottom w:val="nil"/>
                <w:right w:val="nil"/>
                <w:between w:val="nil"/>
              </w:pBdr>
              <w:spacing w:after="200"/>
              <w:jc w:val="both"/>
              <w:rPr>
                <w:rFonts w:ascii="Century Gothic" w:eastAsia="Century Gothic" w:hAnsi="Century Gothic" w:cs="Century Gothic"/>
                <w:b/>
                <w:color w:val="000000"/>
              </w:rPr>
            </w:pPr>
            <w:r>
              <w:rPr>
                <w:rFonts w:ascii="Century Gothic" w:eastAsia="Century Gothic" w:hAnsi="Century Gothic" w:cs="Century Gothic"/>
                <w:b/>
                <w:color w:val="000000"/>
              </w:rPr>
              <w:t>Art</w:t>
            </w:r>
            <w:r>
              <w:rPr>
                <w:rFonts w:ascii="Century Gothic" w:eastAsia="Century Gothic" w:hAnsi="Century Gothic" w:cs="Century Gothic"/>
                <w:b/>
              </w:rPr>
              <w:t>í</w:t>
            </w:r>
            <w:r>
              <w:rPr>
                <w:rFonts w:ascii="Century Gothic" w:eastAsia="Century Gothic" w:hAnsi="Century Gothic" w:cs="Century Gothic"/>
                <w:b/>
                <w:color w:val="000000"/>
              </w:rPr>
              <w:t xml:space="preserve">culo 1°. </w:t>
            </w:r>
            <w:r>
              <w:rPr>
                <w:rFonts w:ascii="Century Gothic" w:eastAsia="Century Gothic" w:hAnsi="Century Gothic" w:cs="Century Gothic"/>
                <w:color w:val="000000"/>
              </w:rPr>
              <w:t>ProhÍbase el consumo de sustancias alcohólicas, alucinógenas o prohibidas en espacios públicos educativos y recreativos, donde se encuentren presentes menores de edad.</w:t>
            </w:r>
            <w:r>
              <w:rPr>
                <w:rFonts w:ascii="Century Gothic" w:eastAsia="Century Gothic" w:hAnsi="Century Gothic" w:cs="Century Gothic"/>
                <w:b/>
                <w:color w:val="000000"/>
              </w:rPr>
              <w:t xml:space="preserve"> </w:t>
            </w:r>
          </w:p>
          <w:p w:rsidR="00BE3162" w:rsidRDefault="00BE3162">
            <w:pPr>
              <w:pBdr>
                <w:top w:val="nil"/>
                <w:left w:val="nil"/>
                <w:bottom w:val="nil"/>
                <w:right w:val="nil"/>
                <w:between w:val="nil"/>
              </w:pBdr>
              <w:spacing w:after="200"/>
              <w:jc w:val="center"/>
              <w:rPr>
                <w:rFonts w:ascii="Century Gothic" w:eastAsia="Century Gothic" w:hAnsi="Century Gothic" w:cs="Century Gothic"/>
                <w:b/>
                <w:color w:val="000000"/>
              </w:rPr>
            </w:pPr>
          </w:p>
        </w:tc>
        <w:tc>
          <w:tcPr>
            <w:tcW w:w="4725" w:type="dxa"/>
          </w:tcPr>
          <w:p w:rsidR="00BE3162" w:rsidRDefault="00C00C6D">
            <w:pPr>
              <w:pBdr>
                <w:top w:val="nil"/>
                <w:left w:val="nil"/>
                <w:bottom w:val="nil"/>
                <w:right w:val="nil"/>
                <w:between w:val="nil"/>
              </w:pBdr>
              <w:spacing w:after="200"/>
              <w:jc w:val="both"/>
              <w:rPr>
                <w:rFonts w:ascii="Century Gothic" w:eastAsia="Century Gothic" w:hAnsi="Century Gothic" w:cs="Century Gothic"/>
                <w:color w:val="000000"/>
              </w:rPr>
            </w:pPr>
            <w:r>
              <w:rPr>
                <w:rFonts w:ascii="Century Gothic" w:eastAsia="Century Gothic" w:hAnsi="Century Gothic" w:cs="Century Gothic"/>
                <w:b/>
                <w:color w:val="000000"/>
              </w:rPr>
              <w:t xml:space="preserve">Artículo 1. </w:t>
            </w:r>
            <w:r>
              <w:rPr>
                <w:rFonts w:ascii="Century Gothic" w:eastAsia="Century Gothic" w:hAnsi="Century Gothic" w:cs="Century Gothic"/>
                <w:color w:val="000000"/>
              </w:rPr>
              <w:t xml:space="preserve">Modifíquese el literal C </w:t>
            </w:r>
            <w:r>
              <w:rPr>
                <w:rFonts w:ascii="Century Gothic" w:eastAsia="Century Gothic" w:hAnsi="Century Gothic" w:cs="Century Gothic"/>
              </w:rPr>
              <w:t>numeral</w:t>
            </w:r>
            <w:r>
              <w:rPr>
                <w:rFonts w:ascii="Century Gothic" w:eastAsia="Century Gothic" w:hAnsi="Century Gothic" w:cs="Century Gothic"/>
                <w:color w:val="000000"/>
              </w:rPr>
              <w:t xml:space="preserve"> 2 del artículo 33 de la Ley 1801 de 2016 </w:t>
            </w:r>
            <w:r>
              <w:rPr>
                <w:rFonts w:ascii="Century Gothic" w:eastAsia="Century Gothic" w:hAnsi="Century Gothic" w:cs="Century Gothic"/>
                <w:i/>
                <w:color w:val="000000"/>
              </w:rPr>
              <w:t xml:space="preserve">“por la cual se expide el Código Nacional de la </w:t>
            </w:r>
            <w:r>
              <w:rPr>
                <w:rFonts w:ascii="Century Gothic" w:eastAsia="Century Gothic" w:hAnsi="Century Gothic" w:cs="Century Gothic"/>
                <w:i/>
              </w:rPr>
              <w:t>Policía</w:t>
            </w:r>
            <w:r>
              <w:rPr>
                <w:rFonts w:ascii="Century Gothic" w:eastAsia="Century Gothic" w:hAnsi="Century Gothic" w:cs="Century Gothic"/>
                <w:i/>
                <w:color w:val="000000"/>
              </w:rPr>
              <w:t xml:space="preserve"> y Convivencia”</w:t>
            </w:r>
            <w:r>
              <w:rPr>
                <w:rFonts w:ascii="Century Gothic" w:eastAsia="Century Gothic" w:hAnsi="Century Gothic" w:cs="Century Gothic"/>
                <w:i/>
              </w:rPr>
              <w:t xml:space="preserve">, </w:t>
            </w:r>
            <w:r>
              <w:rPr>
                <w:rFonts w:ascii="Century Gothic" w:eastAsia="Century Gothic" w:hAnsi="Century Gothic" w:cs="Century Gothic"/>
              </w:rPr>
              <w:t>el cual quedará así:</w:t>
            </w:r>
          </w:p>
          <w:p w:rsidR="00BE3162" w:rsidRDefault="00C00C6D">
            <w:pPr>
              <w:pBdr>
                <w:top w:val="nil"/>
                <w:left w:val="nil"/>
                <w:bottom w:val="nil"/>
                <w:right w:val="nil"/>
                <w:between w:val="nil"/>
              </w:pBdr>
              <w:spacing w:after="200"/>
              <w:jc w:val="both"/>
              <w:rPr>
                <w:rFonts w:ascii="Century Gothic" w:eastAsia="Century Gothic" w:hAnsi="Century Gothic" w:cs="Century Gothic"/>
                <w:color w:val="000000"/>
              </w:rPr>
            </w:pPr>
            <w:r>
              <w:rPr>
                <w:rFonts w:ascii="Century Gothic" w:eastAsia="Century Gothic" w:hAnsi="Century Gothic" w:cs="Century Gothic"/>
                <w:color w:val="000000"/>
              </w:rPr>
              <w:t>(…)</w:t>
            </w:r>
          </w:p>
          <w:p w:rsidR="00BE3162" w:rsidRDefault="00C00C6D">
            <w:pPr>
              <w:pBdr>
                <w:top w:val="nil"/>
                <w:left w:val="nil"/>
                <w:bottom w:val="nil"/>
                <w:right w:val="nil"/>
                <w:between w:val="nil"/>
              </w:pBdr>
              <w:spacing w:after="200"/>
              <w:jc w:val="both"/>
              <w:rPr>
                <w:rFonts w:ascii="Century Gothic" w:eastAsia="Century Gothic" w:hAnsi="Century Gothic" w:cs="Century Gothic"/>
                <w:b/>
                <w:color w:val="000000"/>
              </w:rPr>
            </w:pPr>
            <w:r>
              <w:rPr>
                <w:rFonts w:ascii="Century Gothic" w:eastAsia="Century Gothic" w:hAnsi="Century Gothic" w:cs="Century Gothic"/>
                <w:color w:val="000000"/>
              </w:rPr>
              <w:t xml:space="preserve">C. Consumir sustancias </w:t>
            </w:r>
            <w:r>
              <w:rPr>
                <w:rFonts w:ascii="Century Gothic" w:eastAsia="Century Gothic" w:hAnsi="Century Gothic" w:cs="Century Gothic"/>
              </w:rPr>
              <w:t>alcohólicas</w:t>
            </w:r>
            <w:r>
              <w:rPr>
                <w:rFonts w:ascii="Century Gothic" w:eastAsia="Century Gothic" w:hAnsi="Century Gothic" w:cs="Century Gothic"/>
                <w:color w:val="000000"/>
              </w:rPr>
              <w:t xml:space="preserve">, estupefacientes, sicotrópicas o </w:t>
            </w:r>
            <w:r>
              <w:rPr>
                <w:rFonts w:ascii="Century Gothic" w:eastAsia="Century Gothic" w:hAnsi="Century Gothic" w:cs="Century Gothic"/>
              </w:rPr>
              <w:t>prohibidas</w:t>
            </w:r>
            <w:r>
              <w:rPr>
                <w:rFonts w:ascii="Century Gothic" w:eastAsia="Century Gothic" w:hAnsi="Century Gothic" w:cs="Century Gothic"/>
                <w:color w:val="000000"/>
              </w:rPr>
              <w:t xml:space="preserve"> en presencia de menores de edad.</w:t>
            </w:r>
          </w:p>
        </w:tc>
      </w:tr>
      <w:tr w:rsidR="00BE3162">
        <w:tc>
          <w:tcPr>
            <w:tcW w:w="4350" w:type="dxa"/>
          </w:tcPr>
          <w:p w:rsidR="00BE3162" w:rsidRDefault="00BE3162">
            <w:pPr>
              <w:pBdr>
                <w:top w:val="nil"/>
                <w:left w:val="nil"/>
                <w:bottom w:val="nil"/>
                <w:right w:val="nil"/>
                <w:between w:val="nil"/>
              </w:pBdr>
              <w:spacing w:after="200"/>
              <w:jc w:val="both"/>
              <w:rPr>
                <w:rFonts w:ascii="Century Gothic" w:eastAsia="Century Gothic" w:hAnsi="Century Gothic" w:cs="Century Gothic"/>
                <w:b/>
                <w:color w:val="000000"/>
              </w:rPr>
            </w:pPr>
          </w:p>
        </w:tc>
        <w:tc>
          <w:tcPr>
            <w:tcW w:w="4725" w:type="dxa"/>
          </w:tcPr>
          <w:p w:rsidR="00BE3162" w:rsidRDefault="00C00C6D">
            <w:pPr>
              <w:pBdr>
                <w:top w:val="nil"/>
                <w:left w:val="nil"/>
                <w:bottom w:val="nil"/>
                <w:right w:val="nil"/>
                <w:between w:val="nil"/>
              </w:pBdr>
              <w:spacing w:after="200"/>
              <w:jc w:val="both"/>
              <w:rPr>
                <w:rFonts w:ascii="Century Gothic" w:eastAsia="Century Gothic" w:hAnsi="Century Gothic" w:cs="Century Gothic"/>
              </w:rPr>
            </w:pPr>
            <w:r>
              <w:rPr>
                <w:rFonts w:ascii="Century Gothic" w:eastAsia="Century Gothic" w:hAnsi="Century Gothic" w:cs="Century Gothic"/>
                <w:b/>
                <w:color w:val="000000"/>
              </w:rPr>
              <w:t xml:space="preserve">Artículo 2 (NUEVO). </w:t>
            </w:r>
            <w:r>
              <w:rPr>
                <w:rFonts w:ascii="Century Gothic" w:eastAsia="Century Gothic" w:hAnsi="Century Gothic" w:cs="Century Gothic"/>
              </w:rPr>
              <w:t>Adiciónese un Parágrafo al artículo 30 de la Ley 1801 el cual quedará así:</w:t>
            </w:r>
          </w:p>
          <w:p w:rsidR="00BE3162" w:rsidRDefault="00C00C6D">
            <w:pPr>
              <w:pBdr>
                <w:top w:val="nil"/>
                <w:left w:val="nil"/>
                <w:bottom w:val="nil"/>
                <w:right w:val="nil"/>
                <w:between w:val="nil"/>
              </w:pBdr>
              <w:spacing w:after="200"/>
              <w:jc w:val="both"/>
              <w:rPr>
                <w:rFonts w:ascii="Century Gothic" w:eastAsia="Century Gothic" w:hAnsi="Century Gothic" w:cs="Century Gothic"/>
              </w:rPr>
            </w:pPr>
            <w:r>
              <w:rPr>
                <w:rFonts w:ascii="Century Gothic" w:eastAsia="Century Gothic" w:hAnsi="Century Gothic" w:cs="Century Gothic"/>
                <w:b/>
              </w:rPr>
              <w:t xml:space="preserve">Parágrafo (NUEVO): </w:t>
            </w:r>
            <w:r>
              <w:rPr>
                <w:rFonts w:ascii="Century Gothic" w:eastAsia="Century Gothic" w:hAnsi="Century Gothic" w:cs="Century Gothic"/>
              </w:rPr>
              <w:t>Para el literal C, numeral 2, durante las festividades con arraigo tradicional o eventos culturales, le corresponderá a los Alcaldes reglamentar el consumo de bebidas alcohólicas en sus territorios.</w:t>
            </w:r>
          </w:p>
        </w:tc>
      </w:tr>
      <w:tr w:rsidR="00BE3162">
        <w:tc>
          <w:tcPr>
            <w:tcW w:w="4350" w:type="dxa"/>
          </w:tcPr>
          <w:p w:rsidR="00BE3162" w:rsidRDefault="00C00C6D">
            <w:pPr>
              <w:pBdr>
                <w:top w:val="nil"/>
                <w:left w:val="nil"/>
                <w:bottom w:val="nil"/>
                <w:right w:val="nil"/>
                <w:between w:val="nil"/>
              </w:pBdr>
              <w:spacing w:after="200"/>
              <w:jc w:val="both"/>
              <w:rPr>
                <w:rFonts w:ascii="Century Gothic" w:eastAsia="Century Gothic" w:hAnsi="Century Gothic" w:cs="Century Gothic"/>
                <w:color w:val="000000"/>
              </w:rPr>
            </w:pPr>
            <w:r>
              <w:rPr>
                <w:rFonts w:ascii="Century Gothic" w:eastAsia="Century Gothic" w:hAnsi="Century Gothic" w:cs="Century Gothic"/>
                <w:b/>
                <w:color w:val="000000"/>
              </w:rPr>
              <w:t xml:space="preserve">Artículo 2°. </w:t>
            </w:r>
            <w:r>
              <w:rPr>
                <w:rFonts w:ascii="Century Gothic" w:eastAsia="Century Gothic" w:hAnsi="Century Gothic" w:cs="Century Gothic"/>
                <w:color w:val="000000"/>
              </w:rPr>
              <w:t xml:space="preserve">Quien incumpla la anterior disposición, se le aplicará una medida correctiva, materializada en una Multa General Tipo 2, consistente en ocho (8) salarios mínimos diarios legales </w:t>
            </w:r>
            <w:r>
              <w:rPr>
                <w:rFonts w:ascii="Century Gothic" w:eastAsia="Century Gothic" w:hAnsi="Century Gothic" w:cs="Century Gothic"/>
                <w:color w:val="000000"/>
              </w:rPr>
              <w:lastRenderedPageBreak/>
              <w:t xml:space="preserve">vigentes (SMDLV). Lo anterior, de acuerdo a la Ley 1801 de 2016, </w:t>
            </w:r>
            <w:r>
              <w:rPr>
                <w:rFonts w:ascii="Century Gothic" w:eastAsia="Century Gothic" w:hAnsi="Century Gothic" w:cs="Century Gothic"/>
                <w:i/>
                <w:color w:val="000000"/>
              </w:rPr>
              <w:t>por el cual se expide el Código Nacional de Policía y Convivencia</w:t>
            </w:r>
            <w:r>
              <w:rPr>
                <w:rFonts w:ascii="Century Gothic" w:eastAsia="Century Gothic" w:hAnsi="Century Gothic" w:cs="Century Gothic"/>
                <w:color w:val="000000"/>
              </w:rPr>
              <w:t xml:space="preserve">. </w:t>
            </w:r>
          </w:p>
          <w:p w:rsidR="00BE3162" w:rsidRDefault="00BE3162">
            <w:pPr>
              <w:pBdr>
                <w:top w:val="nil"/>
                <w:left w:val="nil"/>
                <w:bottom w:val="nil"/>
                <w:right w:val="nil"/>
                <w:between w:val="nil"/>
              </w:pBdr>
              <w:spacing w:after="200"/>
              <w:jc w:val="center"/>
              <w:rPr>
                <w:rFonts w:ascii="Century Gothic" w:eastAsia="Century Gothic" w:hAnsi="Century Gothic" w:cs="Century Gothic"/>
                <w:b/>
                <w:color w:val="000000"/>
              </w:rPr>
            </w:pPr>
          </w:p>
        </w:tc>
        <w:tc>
          <w:tcPr>
            <w:tcW w:w="4725" w:type="dxa"/>
          </w:tcPr>
          <w:p w:rsidR="00BE3162" w:rsidRDefault="00C00C6D">
            <w:pPr>
              <w:pBdr>
                <w:top w:val="nil"/>
                <w:left w:val="nil"/>
                <w:bottom w:val="nil"/>
                <w:right w:val="nil"/>
                <w:between w:val="nil"/>
              </w:pBdr>
              <w:spacing w:after="200"/>
              <w:jc w:val="both"/>
              <w:rPr>
                <w:rFonts w:ascii="Century Gothic" w:eastAsia="Century Gothic" w:hAnsi="Century Gothic" w:cs="Century Gothic"/>
                <w:color w:val="000000"/>
              </w:rPr>
            </w:pPr>
            <w:r>
              <w:rPr>
                <w:rFonts w:ascii="Century Gothic" w:eastAsia="Century Gothic" w:hAnsi="Century Gothic" w:cs="Century Gothic"/>
                <w:b/>
                <w:color w:val="000000"/>
              </w:rPr>
              <w:lastRenderedPageBreak/>
              <w:t xml:space="preserve">Artículo 3. </w:t>
            </w:r>
            <w:r>
              <w:rPr>
                <w:rFonts w:ascii="Century Gothic" w:eastAsia="Century Gothic" w:hAnsi="Century Gothic" w:cs="Century Gothic"/>
                <w:color w:val="000000"/>
              </w:rPr>
              <w:t xml:space="preserve">Modifíquese el parágrafo 1 del artículo 33 de la Ley 1801 de 2016 </w:t>
            </w:r>
            <w:r>
              <w:rPr>
                <w:rFonts w:ascii="Century Gothic" w:eastAsia="Century Gothic" w:hAnsi="Century Gothic" w:cs="Century Gothic"/>
                <w:i/>
                <w:color w:val="000000"/>
              </w:rPr>
              <w:t xml:space="preserve">“por la cual se expide el Código Nacional de la </w:t>
            </w:r>
            <w:r>
              <w:rPr>
                <w:rFonts w:ascii="Century Gothic" w:eastAsia="Century Gothic" w:hAnsi="Century Gothic" w:cs="Century Gothic"/>
                <w:i/>
              </w:rPr>
              <w:t>Policía</w:t>
            </w:r>
            <w:r>
              <w:rPr>
                <w:rFonts w:ascii="Century Gothic" w:eastAsia="Century Gothic" w:hAnsi="Century Gothic" w:cs="Century Gothic"/>
                <w:i/>
                <w:color w:val="000000"/>
              </w:rPr>
              <w:t xml:space="preserve"> y Convivencia”</w:t>
            </w:r>
            <w:r>
              <w:rPr>
                <w:rFonts w:ascii="Century Gothic" w:eastAsia="Century Gothic" w:hAnsi="Century Gothic" w:cs="Century Gothic"/>
                <w:color w:val="000000"/>
              </w:rPr>
              <w:t>, el cual quedará así:</w:t>
            </w:r>
          </w:p>
          <w:p w:rsidR="00BE3162" w:rsidRDefault="00C00C6D">
            <w:pPr>
              <w:pBdr>
                <w:top w:val="nil"/>
                <w:left w:val="nil"/>
                <w:bottom w:val="nil"/>
                <w:right w:val="nil"/>
                <w:between w:val="nil"/>
              </w:pBdr>
              <w:spacing w:after="200"/>
              <w:jc w:val="both"/>
              <w:rPr>
                <w:rFonts w:ascii="Century Gothic" w:eastAsia="Century Gothic" w:hAnsi="Century Gothic" w:cs="Century Gothic"/>
                <w:color w:val="000000"/>
              </w:rPr>
            </w:pPr>
            <w:r>
              <w:rPr>
                <w:rFonts w:ascii="Century Gothic" w:eastAsia="Century Gothic" w:hAnsi="Century Gothic" w:cs="Century Gothic"/>
                <w:b/>
                <w:color w:val="000000"/>
              </w:rPr>
              <w:lastRenderedPageBreak/>
              <w:t>PARÁGRAFO 1o.</w:t>
            </w:r>
            <w:r>
              <w:rPr>
                <w:rFonts w:ascii="Century Gothic" w:eastAsia="Century Gothic" w:hAnsi="Century Gothic" w:cs="Century Gothic"/>
                <w:color w:val="000000"/>
              </w:rPr>
              <w:t> Quien incurra en uno o más de los comportamientos antes señalados, será objeto de la aplicación de las siguientes medidas correctivas:</w:t>
            </w:r>
          </w:p>
          <w:tbl>
            <w:tblPr>
              <w:tblStyle w:val="a1"/>
              <w:tblW w:w="451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66"/>
              <w:gridCol w:w="2044"/>
            </w:tblGrid>
            <w:tr w:rsidR="00BE3162">
              <w:tc>
                <w:tcPr>
                  <w:tcW w:w="2466" w:type="dxa"/>
                </w:tcPr>
                <w:p w:rsidR="00BE3162" w:rsidRDefault="00C00C6D">
                  <w:pPr>
                    <w:pBdr>
                      <w:top w:val="nil"/>
                      <w:left w:val="nil"/>
                      <w:bottom w:val="nil"/>
                      <w:right w:val="nil"/>
                      <w:between w:val="nil"/>
                    </w:pBdr>
                    <w:spacing w:after="200"/>
                    <w:jc w:val="center"/>
                    <w:rPr>
                      <w:rFonts w:ascii="Century Gothic" w:eastAsia="Century Gothic" w:hAnsi="Century Gothic" w:cs="Century Gothic"/>
                      <w:color w:val="000000"/>
                    </w:rPr>
                  </w:pPr>
                  <w:r>
                    <w:rPr>
                      <w:rFonts w:ascii="Century Gothic" w:eastAsia="Century Gothic" w:hAnsi="Century Gothic" w:cs="Century Gothic"/>
                      <w:b/>
                      <w:color w:val="000000"/>
                    </w:rPr>
                    <w:t>COMPORTAMIENTOS</w:t>
                  </w:r>
                </w:p>
              </w:tc>
              <w:tc>
                <w:tcPr>
                  <w:tcW w:w="2044" w:type="dxa"/>
                </w:tcPr>
                <w:p w:rsidR="00BE3162" w:rsidRDefault="00C00C6D">
                  <w:pPr>
                    <w:pBdr>
                      <w:top w:val="nil"/>
                      <w:left w:val="nil"/>
                      <w:bottom w:val="nil"/>
                      <w:right w:val="nil"/>
                      <w:between w:val="nil"/>
                    </w:pBdr>
                    <w:spacing w:after="200"/>
                    <w:jc w:val="center"/>
                    <w:rPr>
                      <w:rFonts w:ascii="Century Gothic" w:eastAsia="Century Gothic" w:hAnsi="Century Gothic" w:cs="Century Gothic"/>
                      <w:color w:val="000000"/>
                    </w:rPr>
                  </w:pPr>
                  <w:r>
                    <w:rPr>
                      <w:rFonts w:ascii="Century Gothic" w:eastAsia="Century Gothic" w:hAnsi="Century Gothic" w:cs="Century Gothic"/>
                      <w:b/>
                      <w:color w:val="000000"/>
                    </w:rPr>
                    <w:t>MEDIDA CORRECTIVA A APLICAR</w:t>
                  </w:r>
                </w:p>
              </w:tc>
            </w:tr>
            <w:tr w:rsidR="00BE3162">
              <w:tc>
                <w:tcPr>
                  <w:tcW w:w="2466" w:type="dxa"/>
                </w:tcPr>
                <w:p w:rsidR="00BE3162" w:rsidRDefault="00C00C6D">
                  <w:pPr>
                    <w:pBdr>
                      <w:top w:val="nil"/>
                      <w:left w:val="nil"/>
                      <w:bottom w:val="nil"/>
                      <w:right w:val="nil"/>
                      <w:between w:val="nil"/>
                    </w:pBdr>
                    <w:spacing w:after="200"/>
                    <w:jc w:val="both"/>
                    <w:rPr>
                      <w:rFonts w:ascii="Century Gothic" w:eastAsia="Century Gothic" w:hAnsi="Century Gothic" w:cs="Century Gothic"/>
                      <w:color w:val="000000"/>
                    </w:rPr>
                  </w:pPr>
                  <w:r>
                    <w:rPr>
                      <w:rFonts w:ascii="Century Gothic" w:eastAsia="Century Gothic" w:hAnsi="Century Gothic" w:cs="Century Gothic"/>
                      <w:color w:val="000000"/>
                    </w:rPr>
                    <w:t>Numeral 1</w:t>
                  </w:r>
                </w:p>
              </w:tc>
              <w:tc>
                <w:tcPr>
                  <w:tcW w:w="2044" w:type="dxa"/>
                </w:tcPr>
                <w:p w:rsidR="00BE3162" w:rsidRDefault="00C00C6D">
                  <w:pPr>
                    <w:pBdr>
                      <w:top w:val="nil"/>
                      <w:left w:val="nil"/>
                      <w:bottom w:val="nil"/>
                      <w:right w:val="nil"/>
                      <w:between w:val="nil"/>
                    </w:pBdr>
                    <w:spacing w:after="200"/>
                    <w:jc w:val="both"/>
                    <w:rPr>
                      <w:rFonts w:ascii="Century Gothic" w:eastAsia="Century Gothic" w:hAnsi="Century Gothic" w:cs="Century Gothic"/>
                      <w:color w:val="000000"/>
                    </w:rPr>
                  </w:pPr>
                  <w:r>
                    <w:rPr>
                      <w:rFonts w:ascii="Century Gothic" w:eastAsia="Century Gothic" w:hAnsi="Century Gothic" w:cs="Century Gothic"/>
                      <w:color w:val="000000"/>
                    </w:rPr>
                    <w:t>Multa General tipo 3; Disolución de reunión o actividad que involucra aglomeraciones de público no complejas.</w:t>
                  </w:r>
                </w:p>
              </w:tc>
            </w:tr>
            <w:tr w:rsidR="00BE3162">
              <w:tc>
                <w:tcPr>
                  <w:tcW w:w="2466" w:type="dxa"/>
                </w:tcPr>
                <w:p w:rsidR="00BE3162" w:rsidRDefault="00C00C6D">
                  <w:pPr>
                    <w:pBdr>
                      <w:top w:val="nil"/>
                      <w:left w:val="nil"/>
                      <w:bottom w:val="nil"/>
                      <w:right w:val="nil"/>
                      <w:between w:val="nil"/>
                    </w:pBdr>
                    <w:spacing w:after="200"/>
                    <w:jc w:val="both"/>
                    <w:rPr>
                      <w:rFonts w:ascii="Century Gothic" w:eastAsia="Century Gothic" w:hAnsi="Century Gothic" w:cs="Century Gothic"/>
                      <w:color w:val="000000"/>
                    </w:rPr>
                  </w:pPr>
                  <w:r>
                    <w:rPr>
                      <w:rFonts w:ascii="Century Gothic" w:eastAsia="Century Gothic" w:hAnsi="Century Gothic" w:cs="Century Gothic"/>
                      <w:color w:val="000000"/>
                    </w:rPr>
                    <w:t>Numeral 2, literal a)</w:t>
                  </w:r>
                </w:p>
              </w:tc>
              <w:tc>
                <w:tcPr>
                  <w:tcW w:w="2044" w:type="dxa"/>
                </w:tcPr>
                <w:p w:rsidR="00BE3162" w:rsidRDefault="00C00C6D">
                  <w:pPr>
                    <w:pBdr>
                      <w:top w:val="nil"/>
                      <w:left w:val="nil"/>
                      <w:bottom w:val="nil"/>
                      <w:right w:val="nil"/>
                      <w:between w:val="nil"/>
                    </w:pBdr>
                    <w:spacing w:after="200"/>
                    <w:jc w:val="both"/>
                    <w:rPr>
                      <w:rFonts w:ascii="Century Gothic" w:eastAsia="Century Gothic" w:hAnsi="Century Gothic" w:cs="Century Gothic"/>
                      <w:color w:val="000000"/>
                    </w:rPr>
                  </w:pPr>
                  <w:r>
                    <w:rPr>
                      <w:rFonts w:ascii="Century Gothic" w:eastAsia="Century Gothic" w:hAnsi="Century Gothic" w:cs="Century Gothic"/>
                      <w:color w:val="000000"/>
                    </w:rPr>
                    <w:t>Multa General tipo 3.</w:t>
                  </w:r>
                </w:p>
              </w:tc>
            </w:tr>
            <w:tr w:rsidR="00BE3162">
              <w:tc>
                <w:tcPr>
                  <w:tcW w:w="2466" w:type="dxa"/>
                </w:tcPr>
                <w:p w:rsidR="00BE3162" w:rsidRDefault="00C00C6D">
                  <w:pPr>
                    <w:pBdr>
                      <w:top w:val="nil"/>
                      <w:left w:val="nil"/>
                      <w:bottom w:val="nil"/>
                      <w:right w:val="nil"/>
                      <w:between w:val="nil"/>
                    </w:pBdr>
                    <w:spacing w:after="200"/>
                    <w:jc w:val="both"/>
                    <w:rPr>
                      <w:rFonts w:ascii="Century Gothic" w:eastAsia="Century Gothic" w:hAnsi="Century Gothic" w:cs="Century Gothic"/>
                      <w:color w:val="000000"/>
                    </w:rPr>
                  </w:pPr>
                  <w:r>
                    <w:rPr>
                      <w:rFonts w:ascii="Century Gothic" w:eastAsia="Century Gothic" w:hAnsi="Century Gothic" w:cs="Century Gothic"/>
                      <w:color w:val="000000"/>
                    </w:rPr>
                    <w:t>Numeral 2, literal b)</w:t>
                  </w:r>
                </w:p>
              </w:tc>
              <w:tc>
                <w:tcPr>
                  <w:tcW w:w="2044" w:type="dxa"/>
                </w:tcPr>
                <w:p w:rsidR="00BE3162" w:rsidRDefault="00C00C6D">
                  <w:pPr>
                    <w:pBdr>
                      <w:top w:val="nil"/>
                      <w:left w:val="nil"/>
                      <w:bottom w:val="nil"/>
                      <w:right w:val="nil"/>
                      <w:between w:val="nil"/>
                    </w:pBdr>
                    <w:spacing w:after="200"/>
                    <w:jc w:val="both"/>
                    <w:rPr>
                      <w:rFonts w:ascii="Century Gothic" w:eastAsia="Century Gothic" w:hAnsi="Century Gothic" w:cs="Century Gothic"/>
                      <w:color w:val="000000"/>
                    </w:rPr>
                  </w:pPr>
                  <w:r>
                    <w:rPr>
                      <w:rFonts w:ascii="Century Gothic" w:eastAsia="Century Gothic" w:hAnsi="Century Gothic" w:cs="Century Gothic"/>
                      <w:color w:val="000000"/>
                    </w:rPr>
                    <w:t>Multa General tipo 3.</w:t>
                  </w:r>
                </w:p>
              </w:tc>
            </w:tr>
            <w:tr w:rsidR="00BE3162">
              <w:tc>
                <w:tcPr>
                  <w:tcW w:w="2466" w:type="dxa"/>
                </w:tcPr>
                <w:p w:rsidR="00BE3162" w:rsidRDefault="00C00C6D">
                  <w:pPr>
                    <w:pBdr>
                      <w:top w:val="nil"/>
                      <w:left w:val="nil"/>
                      <w:bottom w:val="nil"/>
                      <w:right w:val="nil"/>
                      <w:between w:val="nil"/>
                    </w:pBdr>
                    <w:spacing w:after="200"/>
                    <w:jc w:val="both"/>
                    <w:rPr>
                      <w:rFonts w:ascii="Century Gothic" w:eastAsia="Century Gothic" w:hAnsi="Century Gothic" w:cs="Century Gothic"/>
                      <w:color w:val="000000"/>
                    </w:rPr>
                  </w:pPr>
                  <w:r>
                    <w:rPr>
                      <w:rFonts w:ascii="Century Gothic" w:eastAsia="Century Gothic" w:hAnsi="Century Gothic" w:cs="Century Gothic"/>
                      <w:color w:val="000000"/>
                    </w:rPr>
                    <w:t>Numeral 2, literal c)</w:t>
                  </w:r>
                </w:p>
              </w:tc>
              <w:tc>
                <w:tcPr>
                  <w:tcW w:w="2044" w:type="dxa"/>
                </w:tcPr>
                <w:p w:rsidR="00BE3162" w:rsidRDefault="00C00C6D">
                  <w:pPr>
                    <w:pBdr>
                      <w:top w:val="nil"/>
                      <w:left w:val="nil"/>
                      <w:bottom w:val="nil"/>
                      <w:right w:val="nil"/>
                      <w:between w:val="nil"/>
                    </w:pBdr>
                    <w:spacing w:after="200"/>
                    <w:jc w:val="both"/>
                    <w:rPr>
                      <w:rFonts w:ascii="Century Gothic" w:eastAsia="Century Gothic" w:hAnsi="Century Gothic" w:cs="Century Gothic"/>
                      <w:color w:val="000000"/>
                    </w:rPr>
                  </w:pPr>
                  <w:r>
                    <w:rPr>
                      <w:rFonts w:ascii="Century Gothic" w:eastAsia="Century Gothic" w:hAnsi="Century Gothic" w:cs="Century Gothic"/>
                      <w:color w:val="000000"/>
                    </w:rPr>
                    <w:t>Multa General tipo 2; Disolución de reunión o actividad que involucra aglomeraciones de público no complejas</w:t>
                  </w:r>
                  <w:r>
                    <w:rPr>
                      <w:rFonts w:ascii="Century Gothic" w:eastAsia="Century Gothic" w:hAnsi="Century Gothic" w:cs="Century Gothic"/>
                      <w:b/>
                      <w:color w:val="000000"/>
                      <w:u w:val="single"/>
                    </w:rPr>
                    <w:t>; Destrucción del bien incautad</w:t>
                  </w:r>
                  <w:r>
                    <w:rPr>
                      <w:rFonts w:ascii="Century Gothic" w:eastAsia="Century Gothic" w:hAnsi="Century Gothic" w:cs="Century Gothic"/>
                      <w:b/>
                      <w:u w:val="single"/>
                    </w:rPr>
                    <w:t>o</w:t>
                  </w:r>
                  <w:r>
                    <w:rPr>
                      <w:rFonts w:ascii="Century Gothic" w:eastAsia="Century Gothic" w:hAnsi="Century Gothic" w:cs="Century Gothic"/>
                      <w:b/>
                      <w:color w:val="000000"/>
                      <w:u w:val="single"/>
                    </w:rPr>
                    <w:t>.</w:t>
                  </w:r>
                </w:p>
              </w:tc>
            </w:tr>
            <w:tr w:rsidR="00BE3162">
              <w:tc>
                <w:tcPr>
                  <w:tcW w:w="2466" w:type="dxa"/>
                </w:tcPr>
                <w:p w:rsidR="00BE3162" w:rsidRDefault="00C00C6D">
                  <w:pPr>
                    <w:pBdr>
                      <w:top w:val="nil"/>
                      <w:left w:val="nil"/>
                      <w:bottom w:val="nil"/>
                      <w:right w:val="nil"/>
                      <w:between w:val="nil"/>
                    </w:pBdr>
                    <w:spacing w:after="200"/>
                    <w:jc w:val="both"/>
                    <w:rPr>
                      <w:rFonts w:ascii="Century Gothic" w:eastAsia="Century Gothic" w:hAnsi="Century Gothic" w:cs="Century Gothic"/>
                      <w:color w:val="000000"/>
                    </w:rPr>
                  </w:pPr>
                  <w:r>
                    <w:rPr>
                      <w:rFonts w:ascii="Century Gothic" w:eastAsia="Century Gothic" w:hAnsi="Century Gothic" w:cs="Century Gothic"/>
                      <w:color w:val="000000"/>
                    </w:rPr>
                    <w:t>Numeral 2, literal d)</w:t>
                  </w:r>
                </w:p>
              </w:tc>
              <w:tc>
                <w:tcPr>
                  <w:tcW w:w="2044" w:type="dxa"/>
                </w:tcPr>
                <w:p w:rsidR="00BE3162" w:rsidRDefault="00C00C6D">
                  <w:pPr>
                    <w:pBdr>
                      <w:top w:val="nil"/>
                      <w:left w:val="nil"/>
                      <w:bottom w:val="nil"/>
                      <w:right w:val="nil"/>
                      <w:between w:val="nil"/>
                    </w:pBdr>
                    <w:spacing w:after="200"/>
                    <w:jc w:val="both"/>
                    <w:rPr>
                      <w:rFonts w:ascii="Century Gothic" w:eastAsia="Century Gothic" w:hAnsi="Century Gothic" w:cs="Century Gothic"/>
                      <w:color w:val="000000"/>
                    </w:rPr>
                  </w:pPr>
                  <w:r>
                    <w:rPr>
                      <w:rFonts w:ascii="Century Gothic" w:eastAsia="Century Gothic" w:hAnsi="Century Gothic" w:cs="Century Gothic"/>
                      <w:color w:val="000000"/>
                    </w:rPr>
                    <w:t>Amonestación.</w:t>
                  </w:r>
                </w:p>
              </w:tc>
            </w:tr>
            <w:tr w:rsidR="00BE3162">
              <w:tc>
                <w:tcPr>
                  <w:tcW w:w="2466" w:type="dxa"/>
                </w:tcPr>
                <w:p w:rsidR="00BE3162" w:rsidRDefault="00C00C6D">
                  <w:pPr>
                    <w:pBdr>
                      <w:top w:val="nil"/>
                      <w:left w:val="nil"/>
                      <w:bottom w:val="nil"/>
                      <w:right w:val="nil"/>
                      <w:between w:val="nil"/>
                    </w:pBdr>
                    <w:spacing w:after="200"/>
                    <w:jc w:val="both"/>
                    <w:rPr>
                      <w:rFonts w:ascii="Century Gothic" w:eastAsia="Century Gothic" w:hAnsi="Century Gothic" w:cs="Century Gothic"/>
                      <w:color w:val="000000"/>
                    </w:rPr>
                  </w:pPr>
                  <w:r>
                    <w:rPr>
                      <w:rFonts w:ascii="Century Gothic" w:eastAsia="Century Gothic" w:hAnsi="Century Gothic" w:cs="Century Gothic"/>
                      <w:color w:val="000000"/>
                    </w:rPr>
                    <w:t>Numeral 2, literal e)</w:t>
                  </w:r>
                </w:p>
              </w:tc>
              <w:tc>
                <w:tcPr>
                  <w:tcW w:w="2044" w:type="dxa"/>
                </w:tcPr>
                <w:p w:rsidR="00BE3162" w:rsidRDefault="00C00C6D">
                  <w:pPr>
                    <w:pBdr>
                      <w:top w:val="nil"/>
                      <w:left w:val="nil"/>
                      <w:bottom w:val="nil"/>
                      <w:right w:val="nil"/>
                      <w:between w:val="nil"/>
                    </w:pBdr>
                    <w:spacing w:after="200"/>
                    <w:jc w:val="both"/>
                    <w:rPr>
                      <w:rFonts w:ascii="Century Gothic" w:eastAsia="Century Gothic" w:hAnsi="Century Gothic" w:cs="Century Gothic"/>
                      <w:color w:val="000000"/>
                    </w:rPr>
                  </w:pPr>
                  <w:r>
                    <w:rPr>
                      <w:rFonts w:ascii="Century Gothic" w:eastAsia="Century Gothic" w:hAnsi="Century Gothic" w:cs="Century Gothic"/>
                      <w:color w:val="000000"/>
                    </w:rPr>
                    <w:t>Multa general tipo 1.</w:t>
                  </w:r>
                </w:p>
              </w:tc>
            </w:tr>
          </w:tbl>
          <w:p w:rsidR="00BE3162" w:rsidRDefault="00BE3162">
            <w:pPr>
              <w:pBdr>
                <w:top w:val="nil"/>
                <w:left w:val="nil"/>
                <w:bottom w:val="nil"/>
                <w:right w:val="nil"/>
                <w:between w:val="nil"/>
              </w:pBdr>
              <w:spacing w:after="200"/>
              <w:jc w:val="center"/>
              <w:rPr>
                <w:rFonts w:ascii="Century Gothic" w:eastAsia="Century Gothic" w:hAnsi="Century Gothic" w:cs="Century Gothic"/>
                <w:b/>
                <w:color w:val="000000"/>
              </w:rPr>
            </w:pPr>
          </w:p>
        </w:tc>
      </w:tr>
      <w:tr w:rsidR="00BE3162">
        <w:trPr>
          <w:trHeight w:val="1640"/>
        </w:trPr>
        <w:tc>
          <w:tcPr>
            <w:tcW w:w="4350" w:type="dxa"/>
          </w:tcPr>
          <w:p w:rsidR="00BE3162" w:rsidRDefault="00C00C6D">
            <w:pPr>
              <w:pBdr>
                <w:top w:val="nil"/>
                <w:left w:val="nil"/>
                <w:bottom w:val="nil"/>
                <w:right w:val="nil"/>
                <w:between w:val="nil"/>
              </w:pBdr>
              <w:spacing w:after="200"/>
              <w:jc w:val="both"/>
              <w:rPr>
                <w:rFonts w:ascii="Century Gothic" w:eastAsia="Century Gothic" w:hAnsi="Century Gothic" w:cs="Century Gothic"/>
                <w:b/>
                <w:color w:val="000000"/>
              </w:rPr>
            </w:pPr>
            <w:r>
              <w:rPr>
                <w:rFonts w:ascii="Century Gothic" w:eastAsia="Century Gothic" w:hAnsi="Century Gothic" w:cs="Century Gothic"/>
                <w:b/>
                <w:color w:val="000000"/>
              </w:rPr>
              <w:lastRenderedPageBreak/>
              <w:t xml:space="preserve">Artículo 3°. </w:t>
            </w:r>
            <w:r>
              <w:rPr>
                <w:rFonts w:ascii="Century Gothic" w:eastAsia="Century Gothic" w:hAnsi="Century Gothic" w:cs="Century Gothic"/>
                <w:i/>
                <w:color w:val="000000"/>
              </w:rPr>
              <w:t>Vigencias y derogatorias</w:t>
            </w:r>
            <w:r>
              <w:rPr>
                <w:rFonts w:ascii="Century Gothic" w:eastAsia="Century Gothic" w:hAnsi="Century Gothic" w:cs="Century Gothic"/>
                <w:color w:val="000000"/>
              </w:rPr>
              <w:t>. La presente ley rige a partir de su sanción y publicación y deroga las disposiciones que le sean contrarias.</w:t>
            </w:r>
            <w:r>
              <w:rPr>
                <w:rFonts w:ascii="Century Gothic" w:eastAsia="Century Gothic" w:hAnsi="Century Gothic" w:cs="Century Gothic"/>
                <w:b/>
                <w:color w:val="000000"/>
              </w:rPr>
              <w:t xml:space="preserve"> </w:t>
            </w:r>
          </w:p>
        </w:tc>
        <w:tc>
          <w:tcPr>
            <w:tcW w:w="4725" w:type="dxa"/>
          </w:tcPr>
          <w:p w:rsidR="00BE3162" w:rsidRDefault="00C00C6D">
            <w:pPr>
              <w:pBdr>
                <w:top w:val="nil"/>
                <w:left w:val="nil"/>
                <w:bottom w:val="nil"/>
                <w:right w:val="nil"/>
                <w:between w:val="nil"/>
              </w:pBdr>
              <w:spacing w:after="200"/>
              <w:jc w:val="both"/>
              <w:rPr>
                <w:rFonts w:ascii="Century Gothic" w:eastAsia="Century Gothic" w:hAnsi="Century Gothic" w:cs="Century Gothic"/>
                <w:color w:val="000000"/>
              </w:rPr>
            </w:pPr>
            <w:r>
              <w:rPr>
                <w:rFonts w:ascii="Century Gothic" w:eastAsia="Century Gothic" w:hAnsi="Century Gothic" w:cs="Century Gothic"/>
                <w:b/>
                <w:color w:val="000000"/>
              </w:rPr>
              <w:t>Artículo 3. Vigencia</w:t>
            </w:r>
            <w:r>
              <w:rPr>
                <w:rFonts w:ascii="Century Gothic" w:eastAsia="Century Gothic" w:hAnsi="Century Gothic" w:cs="Century Gothic"/>
                <w:color w:val="000000"/>
              </w:rPr>
              <w:t xml:space="preserve">. La presente ley rige a partir de su promulgación y deroga todas las disposiciones que le sean contrarias. </w:t>
            </w:r>
          </w:p>
          <w:p w:rsidR="00BE3162" w:rsidRDefault="00BE3162">
            <w:pPr>
              <w:pBdr>
                <w:top w:val="nil"/>
                <w:left w:val="nil"/>
                <w:bottom w:val="nil"/>
                <w:right w:val="nil"/>
                <w:between w:val="nil"/>
              </w:pBdr>
              <w:spacing w:after="200"/>
              <w:jc w:val="center"/>
              <w:rPr>
                <w:rFonts w:ascii="Century Gothic" w:eastAsia="Century Gothic" w:hAnsi="Century Gothic" w:cs="Century Gothic"/>
                <w:b/>
                <w:color w:val="000000"/>
              </w:rPr>
            </w:pPr>
          </w:p>
        </w:tc>
      </w:tr>
    </w:tbl>
    <w:p w:rsidR="00CF17FA" w:rsidRDefault="00CF17FA">
      <w:pPr>
        <w:spacing w:after="200"/>
        <w:rPr>
          <w:rFonts w:ascii="Century Gothic" w:eastAsia="Century Gothic" w:hAnsi="Century Gothic" w:cs="Century Gothic"/>
        </w:rPr>
      </w:pPr>
    </w:p>
    <w:p w:rsidR="00BE3162" w:rsidRDefault="00C00C6D">
      <w:pPr>
        <w:spacing w:after="200"/>
        <w:rPr>
          <w:rFonts w:ascii="Century Gothic" w:eastAsia="Century Gothic" w:hAnsi="Century Gothic" w:cs="Century Gothic"/>
          <w:b/>
        </w:rPr>
      </w:pPr>
      <w:r>
        <w:rPr>
          <w:rFonts w:ascii="Century Gothic" w:eastAsia="Century Gothic" w:hAnsi="Century Gothic" w:cs="Century Gothic"/>
          <w:b/>
        </w:rPr>
        <w:t>VI. PROPOSICIÓN</w:t>
      </w:r>
    </w:p>
    <w:p w:rsidR="00CF17FA" w:rsidRPr="00CF17FA" w:rsidRDefault="00C00C6D" w:rsidP="00CF17FA">
      <w:pPr>
        <w:spacing w:after="160" w:line="256" w:lineRule="auto"/>
        <w:jc w:val="both"/>
        <w:rPr>
          <w:rFonts w:ascii="Century Gothic" w:eastAsia="Century Gothic" w:hAnsi="Century Gothic" w:cs="Century Gothic"/>
          <w:i/>
          <w:sz w:val="22"/>
          <w:szCs w:val="22"/>
        </w:rPr>
      </w:pPr>
      <w:r>
        <w:rPr>
          <w:rFonts w:ascii="Century Gothic" w:eastAsia="Century Gothic" w:hAnsi="Century Gothic" w:cs="Century Gothic"/>
          <w:sz w:val="22"/>
          <w:szCs w:val="22"/>
        </w:rPr>
        <w:t xml:space="preserve">De conformidad con las anteriores consideraciones y en cumplimiento de los requisitos establecidos en la Ley 5ª de 1992, presentamos ponencia favorable y en consecuencia se solicita a los miembros de la Comisión Primera de la Honorable Cámara de Representantes, dar primer debate al Proyecto de Ley número 004 de 2019 Cámara </w:t>
      </w:r>
      <w:r>
        <w:rPr>
          <w:rFonts w:ascii="Century Gothic" w:eastAsia="Century Gothic" w:hAnsi="Century Gothic" w:cs="Century Gothic"/>
          <w:i/>
          <w:sz w:val="22"/>
          <w:szCs w:val="22"/>
        </w:rPr>
        <w:t>“Por medio de la cual se prohíbe el porte y consumo de sustancias alcohólicas y alucinógenas o prohibidas, en lugares públicos y recreativos, donde se encuentren presentes menores de edad.”</w:t>
      </w:r>
    </w:p>
    <w:p w:rsidR="00BE3162" w:rsidRDefault="00C00C6D">
      <w:pPr>
        <w:pBdr>
          <w:top w:val="nil"/>
          <w:left w:val="nil"/>
          <w:bottom w:val="nil"/>
          <w:right w:val="nil"/>
          <w:between w:val="nil"/>
        </w:pBdr>
        <w:spacing w:after="200"/>
        <w:jc w:val="both"/>
        <w:rPr>
          <w:rFonts w:ascii="Century Gothic" w:eastAsia="Century Gothic" w:hAnsi="Century Gothic" w:cs="Century Gothic"/>
          <w:color w:val="000000"/>
        </w:rPr>
      </w:pPr>
      <w:r>
        <w:rPr>
          <w:rFonts w:ascii="Century Gothic" w:eastAsia="Century Gothic" w:hAnsi="Century Gothic" w:cs="Century Gothic"/>
          <w:color w:val="000000"/>
        </w:rPr>
        <w:t>De los Honorables Representantes:</w:t>
      </w:r>
    </w:p>
    <w:tbl>
      <w:tblPr>
        <w:tblStyle w:val="a2"/>
        <w:tblW w:w="8855"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515"/>
        <w:gridCol w:w="4140"/>
        <w:gridCol w:w="200"/>
      </w:tblGrid>
      <w:tr w:rsidR="00BE3162">
        <w:trPr>
          <w:trHeight w:val="2180"/>
        </w:trPr>
        <w:tc>
          <w:tcPr>
            <w:tcW w:w="4515" w:type="dxa"/>
          </w:tcPr>
          <w:p w:rsidR="00BE3162" w:rsidRDefault="00BE3162">
            <w:pPr>
              <w:jc w:val="both"/>
              <w:rPr>
                <w:rFonts w:ascii="Century Gothic" w:eastAsia="Century Gothic" w:hAnsi="Century Gothic" w:cs="Century Gothic"/>
                <w:b/>
              </w:rPr>
            </w:pPr>
          </w:p>
          <w:p w:rsidR="00BE3162" w:rsidRDefault="00BE3162">
            <w:pPr>
              <w:jc w:val="both"/>
              <w:rPr>
                <w:rFonts w:ascii="Century Gothic" w:eastAsia="Century Gothic" w:hAnsi="Century Gothic" w:cs="Century Gothic"/>
                <w:b/>
              </w:rPr>
            </w:pPr>
          </w:p>
          <w:p w:rsidR="007861DF" w:rsidRDefault="007861DF">
            <w:pPr>
              <w:jc w:val="both"/>
              <w:rPr>
                <w:rFonts w:ascii="Century Gothic" w:eastAsia="Century Gothic" w:hAnsi="Century Gothic" w:cs="Century Gothic"/>
                <w:b/>
              </w:rPr>
            </w:pPr>
          </w:p>
          <w:p w:rsidR="00BE3162" w:rsidRDefault="00BE3162">
            <w:pPr>
              <w:jc w:val="both"/>
              <w:rPr>
                <w:rFonts w:ascii="Century Gothic" w:eastAsia="Century Gothic" w:hAnsi="Century Gothic" w:cs="Century Gothic"/>
                <w:b/>
              </w:rPr>
            </w:pPr>
          </w:p>
          <w:p w:rsidR="00BE3162" w:rsidRDefault="00C00C6D">
            <w:pPr>
              <w:jc w:val="both"/>
              <w:rPr>
                <w:rFonts w:ascii="Century Gothic" w:eastAsia="Century Gothic" w:hAnsi="Century Gothic" w:cs="Century Gothic"/>
                <w:b/>
              </w:rPr>
            </w:pPr>
            <w:r>
              <w:rPr>
                <w:rFonts w:ascii="Century Gothic" w:eastAsia="Century Gothic" w:hAnsi="Century Gothic" w:cs="Century Gothic"/>
                <w:b/>
              </w:rPr>
              <w:t>JUAN MANUEL DAZA IGUARÁN</w:t>
            </w:r>
          </w:p>
          <w:p w:rsidR="00BE3162" w:rsidRDefault="00C00C6D">
            <w:pPr>
              <w:jc w:val="both"/>
              <w:rPr>
                <w:rFonts w:ascii="Century Gothic" w:eastAsia="Century Gothic" w:hAnsi="Century Gothic" w:cs="Century Gothic"/>
              </w:rPr>
            </w:pPr>
            <w:r>
              <w:rPr>
                <w:rFonts w:ascii="Century Gothic" w:eastAsia="Century Gothic" w:hAnsi="Century Gothic" w:cs="Century Gothic"/>
              </w:rPr>
              <w:t>Representante a la Cámara</w:t>
            </w:r>
          </w:p>
          <w:p w:rsidR="00BE3162" w:rsidRDefault="00C00C6D">
            <w:pPr>
              <w:jc w:val="both"/>
              <w:rPr>
                <w:rFonts w:ascii="Century Gothic" w:eastAsia="Century Gothic" w:hAnsi="Century Gothic" w:cs="Century Gothic"/>
              </w:rPr>
            </w:pPr>
            <w:r>
              <w:rPr>
                <w:rFonts w:ascii="Century Gothic" w:eastAsia="Century Gothic" w:hAnsi="Century Gothic" w:cs="Century Gothic"/>
              </w:rPr>
              <w:t>Partido Centro Democrático</w:t>
            </w:r>
          </w:p>
        </w:tc>
        <w:tc>
          <w:tcPr>
            <w:tcW w:w="4340" w:type="dxa"/>
            <w:gridSpan w:val="2"/>
          </w:tcPr>
          <w:p w:rsidR="00BE3162" w:rsidRDefault="00BE3162">
            <w:pPr>
              <w:ind w:left="182" w:hanging="182"/>
              <w:jc w:val="both"/>
              <w:rPr>
                <w:rFonts w:ascii="Century Gothic" w:eastAsia="Century Gothic" w:hAnsi="Century Gothic" w:cs="Century Gothic"/>
                <w:b/>
              </w:rPr>
            </w:pPr>
          </w:p>
          <w:p w:rsidR="00BE3162" w:rsidRDefault="00BE3162">
            <w:pPr>
              <w:ind w:left="182" w:hanging="182"/>
              <w:jc w:val="both"/>
              <w:rPr>
                <w:rFonts w:ascii="Century Gothic" w:eastAsia="Century Gothic" w:hAnsi="Century Gothic" w:cs="Century Gothic"/>
                <w:b/>
              </w:rPr>
            </w:pPr>
          </w:p>
          <w:p w:rsidR="00BE3162" w:rsidRDefault="00BE3162" w:rsidP="007861DF">
            <w:pPr>
              <w:jc w:val="both"/>
              <w:rPr>
                <w:rFonts w:ascii="Century Gothic" w:eastAsia="Century Gothic" w:hAnsi="Century Gothic" w:cs="Century Gothic"/>
                <w:b/>
              </w:rPr>
            </w:pPr>
          </w:p>
          <w:p w:rsidR="00BE3162" w:rsidRDefault="00BE3162">
            <w:pPr>
              <w:jc w:val="both"/>
              <w:rPr>
                <w:rFonts w:ascii="Century Gothic" w:eastAsia="Century Gothic" w:hAnsi="Century Gothic" w:cs="Century Gothic"/>
                <w:b/>
              </w:rPr>
            </w:pPr>
          </w:p>
          <w:p w:rsidR="00BE3162" w:rsidRDefault="00C00C6D">
            <w:pPr>
              <w:ind w:left="182" w:hanging="182"/>
              <w:jc w:val="both"/>
              <w:rPr>
                <w:rFonts w:ascii="Century Gothic" w:eastAsia="Century Gothic" w:hAnsi="Century Gothic" w:cs="Century Gothic"/>
                <w:b/>
              </w:rPr>
            </w:pPr>
            <w:r>
              <w:rPr>
                <w:rFonts w:ascii="Century Gothic" w:eastAsia="Century Gothic" w:hAnsi="Century Gothic" w:cs="Century Gothic"/>
                <w:b/>
              </w:rPr>
              <w:t>BUENAVENTURA LEÓN LEÓN</w:t>
            </w:r>
          </w:p>
          <w:p w:rsidR="00BE3162" w:rsidRDefault="00C00C6D">
            <w:pPr>
              <w:ind w:left="182" w:hanging="182"/>
              <w:jc w:val="both"/>
              <w:rPr>
                <w:rFonts w:ascii="Century Gothic" w:eastAsia="Century Gothic" w:hAnsi="Century Gothic" w:cs="Century Gothic"/>
              </w:rPr>
            </w:pPr>
            <w:r>
              <w:rPr>
                <w:rFonts w:ascii="Century Gothic" w:eastAsia="Century Gothic" w:hAnsi="Century Gothic" w:cs="Century Gothic"/>
              </w:rPr>
              <w:t>Representante a la Cámara</w:t>
            </w:r>
          </w:p>
          <w:p w:rsidR="00BE3162" w:rsidRDefault="00C00C6D">
            <w:pPr>
              <w:ind w:left="182" w:hanging="182"/>
              <w:jc w:val="both"/>
              <w:rPr>
                <w:rFonts w:ascii="Century Gothic" w:eastAsia="Century Gothic" w:hAnsi="Century Gothic" w:cs="Century Gothic"/>
                <w:b/>
              </w:rPr>
            </w:pPr>
            <w:r>
              <w:rPr>
                <w:rFonts w:ascii="Century Gothic" w:eastAsia="Century Gothic" w:hAnsi="Century Gothic" w:cs="Century Gothic"/>
              </w:rPr>
              <w:t>Partido Conservador</w:t>
            </w:r>
          </w:p>
        </w:tc>
      </w:tr>
      <w:tr w:rsidR="00BE3162">
        <w:trPr>
          <w:gridAfter w:val="1"/>
          <w:wAfter w:w="200" w:type="dxa"/>
          <w:trHeight w:val="1880"/>
        </w:trPr>
        <w:tc>
          <w:tcPr>
            <w:tcW w:w="4515" w:type="dxa"/>
          </w:tcPr>
          <w:p w:rsidR="00BE3162" w:rsidRDefault="00BE3162">
            <w:pPr>
              <w:jc w:val="both"/>
              <w:rPr>
                <w:rFonts w:ascii="Century Gothic" w:eastAsia="Century Gothic" w:hAnsi="Century Gothic" w:cs="Century Gothic"/>
                <w:b/>
              </w:rPr>
            </w:pPr>
          </w:p>
          <w:p w:rsidR="00BE3162" w:rsidRDefault="00BE3162">
            <w:pPr>
              <w:jc w:val="both"/>
              <w:rPr>
                <w:rFonts w:ascii="Century Gothic" w:eastAsia="Century Gothic" w:hAnsi="Century Gothic" w:cs="Century Gothic"/>
                <w:b/>
              </w:rPr>
            </w:pPr>
          </w:p>
          <w:p w:rsidR="00BE3162" w:rsidRDefault="00BE3162">
            <w:pPr>
              <w:jc w:val="both"/>
              <w:rPr>
                <w:rFonts w:ascii="Century Gothic" w:eastAsia="Century Gothic" w:hAnsi="Century Gothic" w:cs="Century Gothic"/>
                <w:b/>
              </w:rPr>
            </w:pPr>
          </w:p>
          <w:p w:rsidR="007861DF" w:rsidRDefault="007861DF">
            <w:pPr>
              <w:jc w:val="both"/>
              <w:rPr>
                <w:rFonts w:ascii="Century Gothic" w:eastAsia="Century Gothic" w:hAnsi="Century Gothic" w:cs="Century Gothic"/>
                <w:b/>
              </w:rPr>
            </w:pPr>
          </w:p>
          <w:p w:rsidR="00BE3162" w:rsidRDefault="00BE3162">
            <w:pPr>
              <w:jc w:val="both"/>
              <w:rPr>
                <w:rFonts w:ascii="Century Gothic" w:eastAsia="Century Gothic" w:hAnsi="Century Gothic" w:cs="Century Gothic"/>
                <w:b/>
              </w:rPr>
            </w:pPr>
          </w:p>
          <w:p w:rsidR="00BE3162" w:rsidRDefault="00C00C6D">
            <w:pPr>
              <w:jc w:val="both"/>
              <w:rPr>
                <w:rFonts w:ascii="Century Gothic" w:eastAsia="Century Gothic" w:hAnsi="Century Gothic" w:cs="Century Gothic"/>
                <w:b/>
              </w:rPr>
            </w:pPr>
            <w:r>
              <w:rPr>
                <w:rFonts w:ascii="Century Gothic" w:eastAsia="Century Gothic" w:hAnsi="Century Gothic" w:cs="Century Gothic"/>
                <w:b/>
              </w:rPr>
              <w:t>JORGE ENRIQUE BURGOS LUGO</w:t>
            </w:r>
          </w:p>
          <w:p w:rsidR="00BE3162" w:rsidRDefault="00C00C6D">
            <w:pPr>
              <w:jc w:val="both"/>
              <w:rPr>
                <w:rFonts w:ascii="Century Gothic" w:eastAsia="Century Gothic" w:hAnsi="Century Gothic" w:cs="Century Gothic"/>
              </w:rPr>
            </w:pPr>
            <w:r>
              <w:rPr>
                <w:rFonts w:ascii="Century Gothic" w:eastAsia="Century Gothic" w:hAnsi="Century Gothic" w:cs="Century Gothic"/>
              </w:rPr>
              <w:t>Representante a la Cámara</w:t>
            </w:r>
          </w:p>
          <w:p w:rsidR="00BE3162" w:rsidRDefault="00C00C6D">
            <w:pPr>
              <w:jc w:val="both"/>
              <w:rPr>
                <w:rFonts w:ascii="Century Gothic" w:eastAsia="Century Gothic" w:hAnsi="Century Gothic" w:cs="Century Gothic"/>
              </w:rPr>
            </w:pPr>
            <w:r>
              <w:rPr>
                <w:rFonts w:ascii="Century Gothic" w:eastAsia="Century Gothic" w:hAnsi="Century Gothic" w:cs="Century Gothic"/>
              </w:rPr>
              <w:t>Partido de la U</w:t>
            </w:r>
          </w:p>
        </w:tc>
        <w:tc>
          <w:tcPr>
            <w:tcW w:w="4140" w:type="dxa"/>
          </w:tcPr>
          <w:p w:rsidR="00BE3162" w:rsidRDefault="00BE3162">
            <w:pPr>
              <w:ind w:left="182" w:hanging="182"/>
              <w:jc w:val="both"/>
              <w:rPr>
                <w:rFonts w:ascii="Century Gothic" w:eastAsia="Century Gothic" w:hAnsi="Century Gothic" w:cs="Century Gothic"/>
                <w:b/>
              </w:rPr>
            </w:pPr>
          </w:p>
          <w:p w:rsidR="00BE3162" w:rsidRDefault="00BE3162">
            <w:pPr>
              <w:ind w:left="182" w:hanging="182"/>
              <w:jc w:val="both"/>
              <w:rPr>
                <w:rFonts w:ascii="Century Gothic" w:eastAsia="Century Gothic" w:hAnsi="Century Gothic" w:cs="Century Gothic"/>
                <w:b/>
              </w:rPr>
            </w:pPr>
          </w:p>
          <w:p w:rsidR="00BE3162" w:rsidRDefault="00BE3162">
            <w:pPr>
              <w:ind w:left="182" w:hanging="182"/>
              <w:jc w:val="both"/>
              <w:rPr>
                <w:rFonts w:ascii="Century Gothic" w:eastAsia="Century Gothic" w:hAnsi="Century Gothic" w:cs="Century Gothic"/>
                <w:b/>
              </w:rPr>
            </w:pPr>
          </w:p>
          <w:p w:rsidR="007861DF" w:rsidRDefault="007861DF">
            <w:pPr>
              <w:jc w:val="both"/>
              <w:rPr>
                <w:rFonts w:ascii="Century Gothic" w:eastAsia="Century Gothic" w:hAnsi="Century Gothic" w:cs="Century Gothic"/>
                <w:b/>
              </w:rPr>
            </w:pPr>
          </w:p>
          <w:p w:rsidR="007861DF" w:rsidRDefault="007861DF">
            <w:pPr>
              <w:jc w:val="both"/>
              <w:rPr>
                <w:rFonts w:ascii="Century Gothic" w:eastAsia="Century Gothic" w:hAnsi="Century Gothic" w:cs="Century Gothic"/>
                <w:b/>
              </w:rPr>
            </w:pPr>
          </w:p>
          <w:p w:rsidR="00BE3162" w:rsidRDefault="00C00C6D">
            <w:pPr>
              <w:jc w:val="both"/>
              <w:rPr>
                <w:rFonts w:ascii="Century Gothic" w:eastAsia="Century Gothic" w:hAnsi="Century Gothic" w:cs="Century Gothic"/>
                <w:b/>
              </w:rPr>
            </w:pPr>
            <w:r>
              <w:rPr>
                <w:rFonts w:ascii="Century Gothic" w:eastAsia="Century Gothic" w:hAnsi="Century Gothic" w:cs="Century Gothic"/>
                <w:b/>
              </w:rPr>
              <w:t>HERNÁN GUSTAVO ESTUPIÑÁN C.</w:t>
            </w:r>
          </w:p>
          <w:p w:rsidR="00BE3162" w:rsidRDefault="00C00C6D">
            <w:pPr>
              <w:jc w:val="both"/>
              <w:rPr>
                <w:rFonts w:ascii="Century Gothic" w:eastAsia="Century Gothic" w:hAnsi="Century Gothic" w:cs="Century Gothic"/>
              </w:rPr>
            </w:pPr>
            <w:r>
              <w:rPr>
                <w:rFonts w:ascii="Century Gothic" w:eastAsia="Century Gothic" w:hAnsi="Century Gothic" w:cs="Century Gothic"/>
              </w:rPr>
              <w:t>Representante a la Cámara</w:t>
            </w:r>
          </w:p>
          <w:p w:rsidR="00BE3162" w:rsidRDefault="00C00C6D">
            <w:pPr>
              <w:jc w:val="both"/>
              <w:rPr>
                <w:rFonts w:ascii="Century Gothic" w:eastAsia="Century Gothic" w:hAnsi="Century Gothic" w:cs="Century Gothic"/>
                <w:b/>
              </w:rPr>
            </w:pPr>
            <w:r>
              <w:rPr>
                <w:rFonts w:ascii="Century Gothic" w:eastAsia="Century Gothic" w:hAnsi="Century Gothic" w:cs="Century Gothic"/>
              </w:rPr>
              <w:t>Partido Liberal</w:t>
            </w:r>
          </w:p>
          <w:p w:rsidR="00BE3162" w:rsidRDefault="00BE3162">
            <w:pPr>
              <w:jc w:val="both"/>
              <w:rPr>
                <w:rFonts w:ascii="Century Gothic" w:eastAsia="Century Gothic" w:hAnsi="Century Gothic" w:cs="Century Gothic"/>
                <w:b/>
              </w:rPr>
            </w:pPr>
          </w:p>
          <w:p w:rsidR="00BE3162" w:rsidRDefault="00BE3162" w:rsidP="00CF17FA">
            <w:pPr>
              <w:jc w:val="both"/>
              <w:rPr>
                <w:rFonts w:ascii="Century Gothic" w:eastAsia="Century Gothic" w:hAnsi="Century Gothic" w:cs="Century Gothic"/>
                <w:b/>
              </w:rPr>
            </w:pPr>
          </w:p>
        </w:tc>
      </w:tr>
      <w:tr w:rsidR="00BE3162">
        <w:trPr>
          <w:gridAfter w:val="1"/>
          <w:wAfter w:w="200" w:type="dxa"/>
          <w:trHeight w:val="1880"/>
        </w:trPr>
        <w:tc>
          <w:tcPr>
            <w:tcW w:w="4515" w:type="dxa"/>
          </w:tcPr>
          <w:p w:rsidR="007861DF" w:rsidRDefault="007861DF">
            <w:pPr>
              <w:jc w:val="both"/>
              <w:rPr>
                <w:rFonts w:ascii="Century Gothic" w:eastAsia="Century Gothic" w:hAnsi="Century Gothic" w:cs="Century Gothic"/>
                <w:b/>
              </w:rPr>
            </w:pPr>
          </w:p>
          <w:p w:rsidR="007861DF" w:rsidRDefault="007861DF">
            <w:pPr>
              <w:jc w:val="both"/>
              <w:rPr>
                <w:rFonts w:ascii="Century Gothic" w:eastAsia="Century Gothic" w:hAnsi="Century Gothic" w:cs="Century Gothic"/>
                <w:b/>
              </w:rPr>
            </w:pPr>
          </w:p>
          <w:p w:rsidR="007861DF" w:rsidRDefault="007861DF">
            <w:pPr>
              <w:jc w:val="both"/>
              <w:rPr>
                <w:rFonts w:ascii="Century Gothic" w:eastAsia="Century Gothic" w:hAnsi="Century Gothic" w:cs="Century Gothic"/>
                <w:b/>
              </w:rPr>
            </w:pPr>
          </w:p>
          <w:p w:rsidR="007861DF" w:rsidRDefault="007861DF">
            <w:pPr>
              <w:jc w:val="both"/>
              <w:rPr>
                <w:rFonts w:ascii="Century Gothic" w:eastAsia="Century Gothic" w:hAnsi="Century Gothic" w:cs="Century Gothic"/>
                <w:b/>
              </w:rPr>
            </w:pPr>
          </w:p>
          <w:p w:rsidR="00BE3162" w:rsidRDefault="00C00C6D">
            <w:pPr>
              <w:jc w:val="both"/>
              <w:rPr>
                <w:rFonts w:ascii="Century Gothic" w:eastAsia="Century Gothic" w:hAnsi="Century Gothic" w:cs="Century Gothic"/>
                <w:b/>
              </w:rPr>
            </w:pPr>
            <w:r>
              <w:rPr>
                <w:rFonts w:ascii="Century Gothic" w:eastAsia="Century Gothic" w:hAnsi="Century Gothic" w:cs="Century Gothic"/>
                <w:b/>
              </w:rPr>
              <w:t>JORGE MÉNDEZ HERNÁNDEZ</w:t>
            </w:r>
          </w:p>
          <w:p w:rsidR="00BE3162" w:rsidRDefault="00C00C6D" w:rsidP="00E10A6D">
            <w:pPr>
              <w:jc w:val="both"/>
              <w:rPr>
                <w:rFonts w:ascii="Century Gothic" w:eastAsia="Century Gothic" w:hAnsi="Century Gothic" w:cs="Century Gothic"/>
              </w:rPr>
            </w:pPr>
            <w:r>
              <w:rPr>
                <w:rFonts w:ascii="Century Gothic" w:eastAsia="Century Gothic" w:hAnsi="Century Gothic" w:cs="Century Gothic"/>
              </w:rPr>
              <w:t>Representante a la Cámara</w:t>
            </w:r>
          </w:p>
          <w:p w:rsidR="00CF17FA" w:rsidRPr="007861DF" w:rsidRDefault="007861DF">
            <w:pPr>
              <w:jc w:val="both"/>
              <w:rPr>
                <w:rFonts w:ascii="Century Gothic" w:eastAsia="Century Gothic" w:hAnsi="Century Gothic" w:cs="Century Gothic"/>
                <w:b/>
              </w:rPr>
            </w:pPr>
            <w:r>
              <w:rPr>
                <w:rFonts w:ascii="Century Gothic" w:eastAsia="Century Gothic" w:hAnsi="Century Gothic" w:cs="Century Gothic"/>
              </w:rPr>
              <w:t>Partido Cambio Radica</w:t>
            </w:r>
          </w:p>
        </w:tc>
        <w:tc>
          <w:tcPr>
            <w:tcW w:w="4140" w:type="dxa"/>
          </w:tcPr>
          <w:p w:rsidR="00BE3162" w:rsidRDefault="00BE3162">
            <w:pPr>
              <w:ind w:left="182" w:hanging="182"/>
              <w:jc w:val="both"/>
              <w:rPr>
                <w:rFonts w:ascii="Century Gothic" w:eastAsia="Century Gothic" w:hAnsi="Century Gothic" w:cs="Century Gothic"/>
                <w:b/>
              </w:rPr>
            </w:pPr>
          </w:p>
          <w:p w:rsidR="00BE3162" w:rsidRDefault="00BE3162">
            <w:pPr>
              <w:ind w:left="182" w:hanging="182"/>
              <w:jc w:val="both"/>
              <w:rPr>
                <w:rFonts w:ascii="Century Gothic" w:eastAsia="Century Gothic" w:hAnsi="Century Gothic" w:cs="Century Gothic"/>
                <w:b/>
              </w:rPr>
            </w:pPr>
          </w:p>
          <w:p w:rsidR="00BE3162" w:rsidRDefault="00BE3162">
            <w:pPr>
              <w:ind w:left="182" w:hanging="182"/>
              <w:jc w:val="both"/>
              <w:rPr>
                <w:rFonts w:ascii="Century Gothic" w:eastAsia="Century Gothic" w:hAnsi="Century Gothic" w:cs="Century Gothic"/>
                <w:b/>
              </w:rPr>
            </w:pPr>
          </w:p>
          <w:p w:rsidR="00BE3162" w:rsidRDefault="00BE3162">
            <w:pPr>
              <w:ind w:left="182" w:hanging="182"/>
              <w:jc w:val="both"/>
              <w:rPr>
                <w:rFonts w:ascii="Century Gothic" w:eastAsia="Century Gothic" w:hAnsi="Century Gothic" w:cs="Century Gothic"/>
                <w:b/>
              </w:rPr>
            </w:pPr>
          </w:p>
          <w:p w:rsidR="00BE3162" w:rsidRDefault="00BE3162">
            <w:pPr>
              <w:ind w:left="182" w:hanging="182"/>
              <w:jc w:val="both"/>
              <w:rPr>
                <w:rFonts w:ascii="Century Gothic" w:eastAsia="Century Gothic" w:hAnsi="Century Gothic" w:cs="Century Gothic"/>
                <w:b/>
              </w:rPr>
            </w:pPr>
          </w:p>
          <w:p w:rsidR="00BE3162" w:rsidRDefault="00BE3162" w:rsidP="00E10A6D">
            <w:pPr>
              <w:jc w:val="both"/>
              <w:rPr>
                <w:rFonts w:ascii="Century Gothic" w:eastAsia="Century Gothic" w:hAnsi="Century Gothic" w:cs="Century Gothic"/>
                <w:b/>
              </w:rPr>
            </w:pPr>
          </w:p>
        </w:tc>
      </w:tr>
    </w:tbl>
    <w:p w:rsidR="00BE3162" w:rsidRDefault="00C00C6D" w:rsidP="007861DF">
      <w:pPr>
        <w:pBdr>
          <w:top w:val="nil"/>
          <w:left w:val="nil"/>
          <w:bottom w:val="nil"/>
          <w:right w:val="nil"/>
          <w:between w:val="nil"/>
        </w:pBdr>
        <w:spacing w:after="200"/>
        <w:jc w:val="center"/>
        <w:rPr>
          <w:rFonts w:ascii="Century Gothic" w:eastAsia="Century Gothic" w:hAnsi="Century Gothic" w:cs="Century Gothic"/>
          <w:color w:val="000000"/>
        </w:rPr>
      </w:pPr>
      <w:r>
        <w:rPr>
          <w:rFonts w:ascii="Century Gothic" w:eastAsia="Century Gothic" w:hAnsi="Century Gothic" w:cs="Century Gothic"/>
          <w:b/>
          <w:color w:val="000000"/>
        </w:rPr>
        <w:lastRenderedPageBreak/>
        <w:t>TEXTO PROPUESTO PARA PRIMER DEBATE PROYECTO DE LEY N</w:t>
      </w:r>
      <w:r w:rsidR="00CF17FA">
        <w:rPr>
          <w:rFonts w:ascii="Century Gothic" w:eastAsia="Century Gothic" w:hAnsi="Century Gothic" w:cs="Century Gothic"/>
          <w:b/>
          <w:color w:val="000000"/>
        </w:rPr>
        <w:t>Ú</w:t>
      </w:r>
      <w:r>
        <w:rPr>
          <w:rFonts w:ascii="Century Gothic" w:eastAsia="Century Gothic" w:hAnsi="Century Gothic" w:cs="Century Gothic"/>
          <w:b/>
          <w:color w:val="000000"/>
        </w:rPr>
        <w:t>MERO 004 DE 2019 C</w:t>
      </w:r>
      <w:r w:rsidR="00CF17FA">
        <w:rPr>
          <w:rFonts w:ascii="Century Gothic" w:eastAsia="Century Gothic" w:hAnsi="Century Gothic" w:cs="Century Gothic"/>
          <w:b/>
          <w:color w:val="000000"/>
        </w:rPr>
        <w:t>Á</w:t>
      </w:r>
      <w:r>
        <w:rPr>
          <w:rFonts w:ascii="Century Gothic" w:eastAsia="Century Gothic" w:hAnsi="Century Gothic" w:cs="Century Gothic"/>
          <w:b/>
          <w:color w:val="000000"/>
        </w:rPr>
        <w:t>MARA</w:t>
      </w:r>
    </w:p>
    <w:p w:rsidR="00BE3162" w:rsidRDefault="00C00C6D">
      <w:pPr>
        <w:spacing w:after="200"/>
        <w:jc w:val="center"/>
        <w:rPr>
          <w:rFonts w:ascii="Century Gothic" w:eastAsia="Century Gothic" w:hAnsi="Century Gothic" w:cs="Century Gothic"/>
          <w:i/>
          <w:color w:val="000000"/>
        </w:rPr>
      </w:pPr>
      <w:r>
        <w:rPr>
          <w:rFonts w:ascii="Century Gothic" w:eastAsia="Century Gothic" w:hAnsi="Century Gothic" w:cs="Century Gothic"/>
          <w:i/>
        </w:rPr>
        <w:t>“Por medio de la cual se modifica la Ley 1801 de 2016 y se prohíbe el consumo de sustancias alcohólicas, estupefacientes, sicotrópicas o prohibidas en presencia de menores de edad”</w:t>
      </w:r>
    </w:p>
    <w:p w:rsidR="00BE3162" w:rsidRDefault="00C00C6D">
      <w:pPr>
        <w:pBdr>
          <w:top w:val="nil"/>
          <w:left w:val="nil"/>
          <w:bottom w:val="nil"/>
          <w:right w:val="nil"/>
          <w:between w:val="nil"/>
        </w:pBdr>
        <w:spacing w:after="200"/>
        <w:jc w:val="center"/>
        <w:rPr>
          <w:rFonts w:ascii="Century Gothic" w:eastAsia="Century Gothic" w:hAnsi="Century Gothic" w:cs="Century Gothic"/>
          <w:b/>
          <w:color w:val="000000"/>
        </w:rPr>
      </w:pPr>
      <w:r>
        <w:rPr>
          <w:rFonts w:ascii="Century Gothic" w:eastAsia="Century Gothic" w:hAnsi="Century Gothic" w:cs="Century Gothic"/>
          <w:b/>
          <w:color w:val="000000"/>
        </w:rPr>
        <w:t>El Congreso de Colombia</w:t>
      </w:r>
    </w:p>
    <w:p w:rsidR="00BE3162" w:rsidRDefault="00C00C6D">
      <w:pPr>
        <w:pBdr>
          <w:top w:val="nil"/>
          <w:left w:val="nil"/>
          <w:bottom w:val="nil"/>
          <w:right w:val="nil"/>
          <w:between w:val="nil"/>
        </w:pBdr>
        <w:spacing w:after="200"/>
        <w:jc w:val="center"/>
        <w:rPr>
          <w:rFonts w:ascii="Century Gothic" w:eastAsia="Century Gothic" w:hAnsi="Century Gothic" w:cs="Century Gothic"/>
          <w:b/>
          <w:color w:val="000000"/>
        </w:rPr>
      </w:pPr>
      <w:r>
        <w:rPr>
          <w:rFonts w:ascii="Century Gothic" w:eastAsia="Century Gothic" w:hAnsi="Century Gothic" w:cs="Century Gothic"/>
          <w:b/>
          <w:color w:val="000000"/>
        </w:rPr>
        <w:t xml:space="preserve">Decreta: </w:t>
      </w:r>
    </w:p>
    <w:p w:rsidR="00BE3162" w:rsidRDefault="00C00C6D">
      <w:pPr>
        <w:pBdr>
          <w:top w:val="nil"/>
          <w:left w:val="nil"/>
          <w:bottom w:val="nil"/>
          <w:right w:val="nil"/>
          <w:between w:val="nil"/>
        </w:pBdr>
        <w:spacing w:after="200"/>
        <w:jc w:val="both"/>
        <w:rPr>
          <w:rFonts w:ascii="Century Gothic" w:eastAsia="Century Gothic" w:hAnsi="Century Gothic" w:cs="Century Gothic"/>
          <w:color w:val="000000"/>
        </w:rPr>
      </w:pPr>
      <w:r>
        <w:rPr>
          <w:rFonts w:ascii="Century Gothic" w:eastAsia="Century Gothic" w:hAnsi="Century Gothic" w:cs="Century Gothic"/>
          <w:b/>
          <w:color w:val="000000"/>
        </w:rPr>
        <w:t xml:space="preserve">Artículo 1. </w:t>
      </w:r>
      <w:r>
        <w:rPr>
          <w:rFonts w:ascii="Century Gothic" w:eastAsia="Century Gothic" w:hAnsi="Century Gothic" w:cs="Century Gothic"/>
          <w:color w:val="000000"/>
        </w:rPr>
        <w:t xml:space="preserve">Modifíquese el literal C </w:t>
      </w:r>
      <w:r>
        <w:rPr>
          <w:rFonts w:ascii="Century Gothic" w:eastAsia="Century Gothic" w:hAnsi="Century Gothic" w:cs="Century Gothic"/>
        </w:rPr>
        <w:t>numeral</w:t>
      </w:r>
      <w:r>
        <w:rPr>
          <w:rFonts w:ascii="Century Gothic" w:eastAsia="Century Gothic" w:hAnsi="Century Gothic" w:cs="Century Gothic"/>
          <w:color w:val="000000"/>
        </w:rPr>
        <w:t xml:space="preserve"> 2 del artículo 33 de la Ley 1801 de 2016 </w:t>
      </w:r>
      <w:r>
        <w:rPr>
          <w:rFonts w:ascii="Century Gothic" w:eastAsia="Century Gothic" w:hAnsi="Century Gothic" w:cs="Century Gothic"/>
          <w:i/>
          <w:color w:val="000000"/>
        </w:rPr>
        <w:t xml:space="preserve">“por la cual se expide el Código Nacional de la </w:t>
      </w:r>
      <w:r>
        <w:rPr>
          <w:rFonts w:ascii="Century Gothic" w:eastAsia="Century Gothic" w:hAnsi="Century Gothic" w:cs="Century Gothic"/>
          <w:i/>
        </w:rPr>
        <w:t>Policía</w:t>
      </w:r>
      <w:r>
        <w:rPr>
          <w:rFonts w:ascii="Century Gothic" w:eastAsia="Century Gothic" w:hAnsi="Century Gothic" w:cs="Century Gothic"/>
          <w:i/>
          <w:color w:val="000000"/>
        </w:rPr>
        <w:t xml:space="preserve"> y Convivencia”</w:t>
      </w:r>
      <w:r>
        <w:rPr>
          <w:rFonts w:ascii="Century Gothic" w:eastAsia="Century Gothic" w:hAnsi="Century Gothic" w:cs="Century Gothic"/>
          <w:i/>
        </w:rPr>
        <w:t>,</w:t>
      </w:r>
      <w:r>
        <w:rPr>
          <w:rFonts w:ascii="Century Gothic" w:eastAsia="Century Gothic" w:hAnsi="Century Gothic" w:cs="Century Gothic"/>
        </w:rPr>
        <w:t xml:space="preserve"> el cual quedará así:</w:t>
      </w:r>
      <w:r>
        <w:rPr>
          <w:rFonts w:ascii="Century Gothic" w:eastAsia="Century Gothic" w:hAnsi="Century Gothic" w:cs="Century Gothic"/>
          <w:color w:val="000000"/>
        </w:rPr>
        <w:t xml:space="preserve"> </w:t>
      </w:r>
    </w:p>
    <w:p w:rsidR="00BE3162" w:rsidRDefault="00C00C6D">
      <w:pPr>
        <w:pBdr>
          <w:top w:val="nil"/>
          <w:left w:val="nil"/>
          <w:bottom w:val="nil"/>
          <w:right w:val="nil"/>
          <w:between w:val="nil"/>
        </w:pBdr>
        <w:spacing w:after="200"/>
        <w:jc w:val="both"/>
        <w:rPr>
          <w:rFonts w:ascii="Century Gothic" w:eastAsia="Century Gothic" w:hAnsi="Century Gothic" w:cs="Century Gothic"/>
          <w:color w:val="000000"/>
        </w:rPr>
      </w:pPr>
      <w:r>
        <w:rPr>
          <w:rFonts w:ascii="Century Gothic" w:eastAsia="Century Gothic" w:hAnsi="Century Gothic" w:cs="Century Gothic"/>
          <w:color w:val="000000"/>
        </w:rPr>
        <w:t>(…)</w:t>
      </w:r>
    </w:p>
    <w:p w:rsidR="00BE3162" w:rsidRDefault="00C00C6D">
      <w:pPr>
        <w:pBdr>
          <w:top w:val="nil"/>
          <w:left w:val="nil"/>
          <w:bottom w:val="nil"/>
          <w:right w:val="nil"/>
          <w:between w:val="nil"/>
        </w:pBdr>
        <w:spacing w:after="200"/>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C. Consumir sustancias </w:t>
      </w:r>
      <w:r>
        <w:rPr>
          <w:rFonts w:ascii="Century Gothic" w:eastAsia="Century Gothic" w:hAnsi="Century Gothic" w:cs="Century Gothic"/>
        </w:rPr>
        <w:t>alcohólicas</w:t>
      </w:r>
      <w:r>
        <w:rPr>
          <w:rFonts w:ascii="Century Gothic" w:eastAsia="Century Gothic" w:hAnsi="Century Gothic" w:cs="Century Gothic"/>
          <w:color w:val="000000"/>
        </w:rPr>
        <w:t xml:space="preserve">, estupefacientes, sicotrópicas o </w:t>
      </w:r>
      <w:r>
        <w:rPr>
          <w:rFonts w:ascii="Century Gothic" w:eastAsia="Century Gothic" w:hAnsi="Century Gothic" w:cs="Century Gothic"/>
        </w:rPr>
        <w:t>prohibidas</w:t>
      </w:r>
      <w:r>
        <w:rPr>
          <w:rFonts w:ascii="Century Gothic" w:eastAsia="Century Gothic" w:hAnsi="Century Gothic" w:cs="Century Gothic"/>
          <w:color w:val="000000"/>
        </w:rPr>
        <w:t xml:space="preserve"> en presencia de menores de edad.</w:t>
      </w:r>
    </w:p>
    <w:p w:rsidR="00BE3162" w:rsidRDefault="00C00C6D">
      <w:pPr>
        <w:spacing w:after="200"/>
        <w:jc w:val="both"/>
        <w:rPr>
          <w:rFonts w:ascii="Century Gothic" w:eastAsia="Century Gothic" w:hAnsi="Century Gothic" w:cs="Century Gothic"/>
        </w:rPr>
      </w:pPr>
      <w:r>
        <w:rPr>
          <w:rFonts w:ascii="Century Gothic" w:eastAsia="Century Gothic" w:hAnsi="Century Gothic" w:cs="Century Gothic"/>
          <w:b/>
        </w:rPr>
        <w:t xml:space="preserve">Artículo 2. </w:t>
      </w:r>
      <w:r>
        <w:rPr>
          <w:rFonts w:ascii="Century Gothic" w:eastAsia="Century Gothic" w:hAnsi="Century Gothic" w:cs="Century Gothic"/>
        </w:rPr>
        <w:t>Adiciónese un Parágrafo al artículo 30 de la Ley 1801 el cual quedará así:</w:t>
      </w:r>
    </w:p>
    <w:p w:rsidR="00BE3162" w:rsidRDefault="00C00C6D">
      <w:pPr>
        <w:spacing w:after="200"/>
        <w:jc w:val="both"/>
        <w:rPr>
          <w:rFonts w:ascii="Century Gothic" w:eastAsia="Century Gothic" w:hAnsi="Century Gothic" w:cs="Century Gothic"/>
          <w:b/>
        </w:rPr>
      </w:pPr>
      <w:r>
        <w:rPr>
          <w:rFonts w:ascii="Century Gothic" w:eastAsia="Century Gothic" w:hAnsi="Century Gothic" w:cs="Century Gothic"/>
          <w:b/>
        </w:rPr>
        <w:t xml:space="preserve">PARÁGRAFO 3o. </w:t>
      </w:r>
      <w:r>
        <w:rPr>
          <w:rFonts w:ascii="Century Gothic" w:eastAsia="Century Gothic" w:hAnsi="Century Gothic" w:cs="Century Gothic"/>
        </w:rPr>
        <w:t>Para el literal C, numeral 2, durante las festividades con arraigo tradicional o eventos culturales, le corresponderá a los Alcaldes reglamentar el consumo de bebidas alcohólicas en sus territorios.</w:t>
      </w:r>
    </w:p>
    <w:p w:rsidR="00BE3162" w:rsidRDefault="00C00C6D">
      <w:pPr>
        <w:pBdr>
          <w:top w:val="nil"/>
          <w:left w:val="nil"/>
          <w:bottom w:val="nil"/>
          <w:right w:val="nil"/>
          <w:between w:val="nil"/>
        </w:pBdr>
        <w:spacing w:after="200"/>
        <w:jc w:val="both"/>
        <w:rPr>
          <w:rFonts w:ascii="Century Gothic" w:eastAsia="Century Gothic" w:hAnsi="Century Gothic" w:cs="Century Gothic"/>
          <w:color w:val="000000"/>
        </w:rPr>
      </w:pPr>
      <w:r>
        <w:rPr>
          <w:rFonts w:ascii="Century Gothic" w:eastAsia="Century Gothic" w:hAnsi="Century Gothic" w:cs="Century Gothic"/>
          <w:b/>
          <w:color w:val="000000"/>
        </w:rPr>
        <w:t xml:space="preserve">Artículo </w:t>
      </w:r>
      <w:r>
        <w:rPr>
          <w:rFonts w:ascii="Century Gothic" w:eastAsia="Century Gothic" w:hAnsi="Century Gothic" w:cs="Century Gothic"/>
          <w:b/>
        </w:rPr>
        <w:t>3</w:t>
      </w:r>
      <w:r>
        <w:rPr>
          <w:rFonts w:ascii="Century Gothic" w:eastAsia="Century Gothic" w:hAnsi="Century Gothic" w:cs="Century Gothic"/>
          <w:b/>
          <w:color w:val="000000"/>
        </w:rPr>
        <w:t xml:space="preserve">. </w:t>
      </w:r>
      <w:r>
        <w:rPr>
          <w:rFonts w:ascii="Century Gothic" w:eastAsia="Century Gothic" w:hAnsi="Century Gothic" w:cs="Century Gothic"/>
          <w:color w:val="000000"/>
        </w:rPr>
        <w:t xml:space="preserve">Modifíquese el parágrafo 1 del artículo 33 de la Ley 1801 de 2016 </w:t>
      </w:r>
      <w:r>
        <w:rPr>
          <w:rFonts w:ascii="Century Gothic" w:eastAsia="Century Gothic" w:hAnsi="Century Gothic" w:cs="Century Gothic"/>
          <w:i/>
          <w:color w:val="000000"/>
        </w:rPr>
        <w:t xml:space="preserve">“por la cual se expide el Código Nacional de la </w:t>
      </w:r>
      <w:r>
        <w:rPr>
          <w:rFonts w:ascii="Century Gothic" w:eastAsia="Century Gothic" w:hAnsi="Century Gothic" w:cs="Century Gothic"/>
          <w:i/>
        </w:rPr>
        <w:t>Policía</w:t>
      </w:r>
      <w:r>
        <w:rPr>
          <w:rFonts w:ascii="Century Gothic" w:eastAsia="Century Gothic" w:hAnsi="Century Gothic" w:cs="Century Gothic"/>
          <w:i/>
          <w:color w:val="000000"/>
        </w:rPr>
        <w:t xml:space="preserve"> y Convivencia”</w:t>
      </w:r>
      <w:r>
        <w:rPr>
          <w:rFonts w:ascii="Century Gothic" w:eastAsia="Century Gothic" w:hAnsi="Century Gothic" w:cs="Century Gothic"/>
          <w:color w:val="000000"/>
        </w:rPr>
        <w:t>, el cual quedará así:</w:t>
      </w:r>
    </w:p>
    <w:p w:rsidR="00BE3162" w:rsidRDefault="00C00C6D">
      <w:pPr>
        <w:pBdr>
          <w:top w:val="nil"/>
          <w:left w:val="nil"/>
          <w:bottom w:val="nil"/>
          <w:right w:val="nil"/>
          <w:between w:val="nil"/>
        </w:pBdr>
        <w:spacing w:after="200"/>
        <w:jc w:val="both"/>
        <w:rPr>
          <w:rFonts w:ascii="Century Gothic" w:eastAsia="Century Gothic" w:hAnsi="Century Gothic" w:cs="Century Gothic"/>
          <w:color w:val="000000"/>
        </w:rPr>
      </w:pPr>
      <w:r>
        <w:rPr>
          <w:rFonts w:ascii="Century Gothic" w:eastAsia="Century Gothic" w:hAnsi="Century Gothic" w:cs="Century Gothic"/>
          <w:b/>
          <w:color w:val="000000"/>
        </w:rPr>
        <w:t>PARÁGRAFO 1o.</w:t>
      </w:r>
      <w:r>
        <w:rPr>
          <w:rFonts w:ascii="Century Gothic" w:eastAsia="Century Gothic" w:hAnsi="Century Gothic" w:cs="Century Gothic"/>
          <w:color w:val="000000"/>
        </w:rPr>
        <w:t> Quien incurra en uno o más de los comportamientos antes señalados, será objeto de la aplicación de las siguientes medidas correctivas:</w:t>
      </w:r>
    </w:p>
    <w:tbl>
      <w:tblPr>
        <w:tblStyle w:val="a3"/>
        <w:tblW w:w="891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36"/>
        <w:gridCol w:w="5780"/>
      </w:tblGrid>
      <w:tr w:rsidR="00BE3162">
        <w:tc>
          <w:tcPr>
            <w:tcW w:w="3136" w:type="dxa"/>
          </w:tcPr>
          <w:p w:rsidR="00BE3162" w:rsidRDefault="00C00C6D">
            <w:pPr>
              <w:pBdr>
                <w:top w:val="nil"/>
                <w:left w:val="nil"/>
                <w:bottom w:val="nil"/>
                <w:right w:val="nil"/>
                <w:between w:val="nil"/>
              </w:pBdr>
              <w:spacing w:after="200"/>
              <w:jc w:val="both"/>
              <w:rPr>
                <w:rFonts w:ascii="Century Gothic" w:eastAsia="Century Gothic" w:hAnsi="Century Gothic" w:cs="Century Gothic"/>
                <w:color w:val="000000"/>
              </w:rPr>
            </w:pPr>
            <w:r>
              <w:rPr>
                <w:rFonts w:ascii="Century Gothic" w:eastAsia="Century Gothic" w:hAnsi="Century Gothic" w:cs="Century Gothic"/>
                <w:b/>
                <w:color w:val="000000"/>
              </w:rPr>
              <w:t>COMPORTAMIENTOS</w:t>
            </w:r>
          </w:p>
        </w:tc>
        <w:tc>
          <w:tcPr>
            <w:tcW w:w="5780" w:type="dxa"/>
          </w:tcPr>
          <w:p w:rsidR="00BE3162" w:rsidRDefault="00C00C6D">
            <w:pPr>
              <w:pBdr>
                <w:top w:val="nil"/>
                <w:left w:val="nil"/>
                <w:bottom w:val="nil"/>
                <w:right w:val="nil"/>
                <w:between w:val="nil"/>
              </w:pBdr>
              <w:spacing w:after="200"/>
              <w:jc w:val="both"/>
              <w:rPr>
                <w:rFonts w:ascii="Century Gothic" w:eastAsia="Century Gothic" w:hAnsi="Century Gothic" w:cs="Century Gothic"/>
                <w:color w:val="000000"/>
              </w:rPr>
            </w:pPr>
            <w:r>
              <w:rPr>
                <w:rFonts w:ascii="Century Gothic" w:eastAsia="Century Gothic" w:hAnsi="Century Gothic" w:cs="Century Gothic"/>
                <w:b/>
                <w:color w:val="000000"/>
              </w:rPr>
              <w:t>MEDIDA CORRECTIVA A APLICAR</w:t>
            </w:r>
          </w:p>
        </w:tc>
      </w:tr>
      <w:tr w:rsidR="00BE3162">
        <w:tc>
          <w:tcPr>
            <w:tcW w:w="3136" w:type="dxa"/>
          </w:tcPr>
          <w:p w:rsidR="00BE3162" w:rsidRDefault="00C00C6D">
            <w:pPr>
              <w:pBdr>
                <w:top w:val="nil"/>
                <w:left w:val="nil"/>
                <w:bottom w:val="nil"/>
                <w:right w:val="nil"/>
                <w:between w:val="nil"/>
              </w:pBdr>
              <w:spacing w:after="200"/>
              <w:jc w:val="both"/>
              <w:rPr>
                <w:rFonts w:ascii="Century Gothic" w:eastAsia="Century Gothic" w:hAnsi="Century Gothic" w:cs="Century Gothic"/>
                <w:color w:val="000000"/>
              </w:rPr>
            </w:pPr>
            <w:r>
              <w:rPr>
                <w:rFonts w:ascii="Century Gothic" w:eastAsia="Century Gothic" w:hAnsi="Century Gothic" w:cs="Century Gothic"/>
                <w:color w:val="000000"/>
              </w:rPr>
              <w:t>Numeral 1</w:t>
            </w:r>
          </w:p>
        </w:tc>
        <w:tc>
          <w:tcPr>
            <w:tcW w:w="5780" w:type="dxa"/>
          </w:tcPr>
          <w:p w:rsidR="00BE3162" w:rsidRDefault="00C00C6D">
            <w:pPr>
              <w:pBdr>
                <w:top w:val="nil"/>
                <w:left w:val="nil"/>
                <w:bottom w:val="nil"/>
                <w:right w:val="nil"/>
                <w:between w:val="nil"/>
              </w:pBdr>
              <w:spacing w:after="200"/>
              <w:jc w:val="both"/>
              <w:rPr>
                <w:rFonts w:ascii="Century Gothic" w:eastAsia="Century Gothic" w:hAnsi="Century Gothic" w:cs="Century Gothic"/>
                <w:color w:val="000000"/>
              </w:rPr>
            </w:pPr>
            <w:r>
              <w:rPr>
                <w:rFonts w:ascii="Century Gothic" w:eastAsia="Century Gothic" w:hAnsi="Century Gothic" w:cs="Century Gothic"/>
                <w:color w:val="000000"/>
              </w:rPr>
              <w:t>Multa General tipo 3; Disolución de reunión o actividad que involucra aglomeraciones de público no complejas.</w:t>
            </w:r>
          </w:p>
        </w:tc>
      </w:tr>
      <w:tr w:rsidR="00BE3162">
        <w:tc>
          <w:tcPr>
            <w:tcW w:w="3136" w:type="dxa"/>
          </w:tcPr>
          <w:p w:rsidR="00BE3162" w:rsidRDefault="00C00C6D">
            <w:pPr>
              <w:pBdr>
                <w:top w:val="nil"/>
                <w:left w:val="nil"/>
                <w:bottom w:val="nil"/>
                <w:right w:val="nil"/>
                <w:between w:val="nil"/>
              </w:pBdr>
              <w:spacing w:after="200"/>
              <w:jc w:val="both"/>
              <w:rPr>
                <w:rFonts w:ascii="Century Gothic" w:eastAsia="Century Gothic" w:hAnsi="Century Gothic" w:cs="Century Gothic"/>
                <w:color w:val="000000"/>
              </w:rPr>
            </w:pPr>
            <w:r>
              <w:rPr>
                <w:rFonts w:ascii="Century Gothic" w:eastAsia="Century Gothic" w:hAnsi="Century Gothic" w:cs="Century Gothic"/>
                <w:color w:val="000000"/>
              </w:rPr>
              <w:t>Numeral 2, literal a)</w:t>
            </w:r>
          </w:p>
        </w:tc>
        <w:tc>
          <w:tcPr>
            <w:tcW w:w="5780" w:type="dxa"/>
          </w:tcPr>
          <w:p w:rsidR="00BE3162" w:rsidRDefault="00C00C6D">
            <w:pPr>
              <w:pBdr>
                <w:top w:val="nil"/>
                <w:left w:val="nil"/>
                <w:bottom w:val="nil"/>
                <w:right w:val="nil"/>
                <w:between w:val="nil"/>
              </w:pBdr>
              <w:spacing w:after="200"/>
              <w:jc w:val="both"/>
              <w:rPr>
                <w:rFonts w:ascii="Century Gothic" w:eastAsia="Century Gothic" w:hAnsi="Century Gothic" w:cs="Century Gothic"/>
                <w:color w:val="000000"/>
              </w:rPr>
            </w:pPr>
            <w:r>
              <w:rPr>
                <w:rFonts w:ascii="Century Gothic" w:eastAsia="Century Gothic" w:hAnsi="Century Gothic" w:cs="Century Gothic"/>
                <w:color w:val="000000"/>
              </w:rPr>
              <w:t>Multa General tipo 3.</w:t>
            </w:r>
          </w:p>
        </w:tc>
      </w:tr>
      <w:tr w:rsidR="00BE3162">
        <w:tc>
          <w:tcPr>
            <w:tcW w:w="3136" w:type="dxa"/>
          </w:tcPr>
          <w:p w:rsidR="00BE3162" w:rsidRDefault="00C00C6D">
            <w:pPr>
              <w:pBdr>
                <w:top w:val="nil"/>
                <w:left w:val="nil"/>
                <w:bottom w:val="nil"/>
                <w:right w:val="nil"/>
                <w:between w:val="nil"/>
              </w:pBdr>
              <w:spacing w:after="200"/>
              <w:jc w:val="both"/>
              <w:rPr>
                <w:rFonts w:ascii="Century Gothic" w:eastAsia="Century Gothic" w:hAnsi="Century Gothic" w:cs="Century Gothic"/>
                <w:color w:val="000000"/>
              </w:rPr>
            </w:pPr>
            <w:r>
              <w:rPr>
                <w:rFonts w:ascii="Century Gothic" w:eastAsia="Century Gothic" w:hAnsi="Century Gothic" w:cs="Century Gothic"/>
                <w:color w:val="000000"/>
              </w:rPr>
              <w:t>Numeral 2, literal b)</w:t>
            </w:r>
          </w:p>
        </w:tc>
        <w:tc>
          <w:tcPr>
            <w:tcW w:w="5780" w:type="dxa"/>
          </w:tcPr>
          <w:p w:rsidR="00BE3162" w:rsidRDefault="00C00C6D">
            <w:pPr>
              <w:pBdr>
                <w:top w:val="nil"/>
                <w:left w:val="nil"/>
                <w:bottom w:val="nil"/>
                <w:right w:val="nil"/>
                <w:between w:val="nil"/>
              </w:pBdr>
              <w:spacing w:after="200"/>
              <w:jc w:val="both"/>
              <w:rPr>
                <w:rFonts w:ascii="Century Gothic" w:eastAsia="Century Gothic" w:hAnsi="Century Gothic" w:cs="Century Gothic"/>
                <w:color w:val="000000"/>
              </w:rPr>
            </w:pPr>
            <w:r>
              <w:rPr>
                <w:rFonts w:ascii="Century Gothic" w:eastAsia="Century Gothic" w:hAnsi="Century Gothic" w:cs="Century Gothic"/>
                <w:color w:val="000000"/>
              </w:rPr>
              <w:t>Multa General tipo 3.</w:t>
            </w:r>
          </w:p>
        </w:tc>
      </w:tr>
      <w:tr w:rsidR="00BE3162">
        <w:tc>
          <w:tcPr>
            <w:tcW w:w="3136" w:type="dxa"/>
          </w:tcPr>
          <w:p w:rsidR="00BE3162" w:rsidRDefault="00C00C6D">
            <w:pPr>
              <w:pBdr>
                <w:top w:val="nil"/>
                <w:left w:val="nil"/>
                <w:bottom w:val="nil"/>
                <w:right w:val="nil"/>
                <w:between w:val="nil"/>
              </w:pBdr>
              <w:spacing w:after="200"/>
              <w:jc w:val="both"/>
              <w:rPr>
                <w:rFonts w:ascii="Century Gothic" w:eastAsia="Century Gothic" w:hAnsi="Century Gothic" w:cs="Century Gothic"/>
                <w:color w:val="000000"/>
              </w:rPr>
            </w:pPr>
            <w:r>
              <w:rPr>
                <w:rFonts w:ascii="Century Gothic" w:eastAsia="Century Gothic" w:hAnsi="Century Gothic" w:cs="Century Gothic"/>
                <w:color w:val="000000"/>
              </w:rPr>
              <w:t>Numeral 2, literal c)</w:t>
            </w:r>
          </w:p>
        </w:tc>
        <w:tc>
          <w:tcPr>
            <w:tcW w:w="5780" w:type="dxa"/>
          </w:tcPr>
          <w:p w:rsidR="00BE3162" w:rsidRDefault="00C00C6D">
            <w:pPr>
              <w:pBdr>
                <w:top w:val="nil"/>
                <w:left w:val="nil"/>
                <w:bottom w:val="nil"/>
                <w:right w:val="nil"/>
                <w:between w:val="nil"/>
              </w:pBdr>
              <w:spacing w:after="200"/>
              <w:jc w:val="both"/>
              <w:rPr>
                <w:rFonts w:ascii="Century Gothic" w:eastAsia="Century Gothic" w:hAnsi="Century Gothic" w:cs="Century Gothic"/>
                <w:color w:val="000000"/>
              </w:rPr>
            </w:pPr>
            <w:r>
              <w:rPr>
                <w:rFonts w:ascii="Century Gothic" w:eastAsia="Century Gothic" w:hAnsi="Century Gothic" w:cs="Century Gothic"/>
                <w:color w:val="000000"/>
              </w:rPr>
              <w:t xml:space="preserve">Multa General tipo 2; Disolución de reunión o actividad que involucra aglomeraciones de </w:t>
            </w:r>
            <w:r>
              <w:rPr>
                <w:rFonts w:ascii="Century Gothic" w:eastAsia="Century Gothic" w:hAnsi="Century Gothic" w:cs="Century Gothic"/>
                <w:color w:val="000000"/>
              </w:rPr>
              <w:lastRenderedPageBreak/>
              <w:t>público no complejas</w:t>
            </w:r>
            <w:r>
              <w:rPr>
                <w:rFonts w:ascii="Century Gothic" w:eastAsia="Century Gothic" w:hAnsi="Century Gothic" w:cs="Century Gothic"/>
                <w:b/>
                <w:color w:val="000000"/>
                <w:u w:val="single"/>
              </w:rPr>
              <w:t>;</w:t>
            </w:r>
            <w:r>
              <w:rPr>
                <w:rFonts w:ascii="Century Gothic" w:eastAsia="Century Gothic" w:hAnsi="Century Gothic" w:cs="Century Gothic"/>
                <w:b/>
                <w:color w:val="000000"/>
              </w:rPr>
              <w:t xml:space="preserve"> </w:t>
            </w:r>
            <w:r>
              <w:rPr>
                <w:rFonts w:ascii="Century Gothic" w:eastAsia="Century Gothic" w:hAnsi="Century Gothic" w:cs="Century Gothic"/>
                <w:b/>
                <w:color w:val="000000"/>
                <w:u w:val="single"/>
              </w:rPr>
              <w:t>Destrucción del bien incautado.</w:t>
            </w:r>
          </w:p>
        </w:tc>
      </w:tr>
      <w:tr w:rsidR="00BE3162">
        <w:tc>
          <w:tcPr>
            <w:tcW w:w="3136" w:type="dxa"/>
          </w:tcPr>
          <w:p w:rsidR="00BE3162" w:rsidRDefault="00C00C6D">
            <w:pPr>
              <w:pBdr>
                <w:top w:val="nil"/>
                <w:left w:val="nil"/>
                <w:bottom w:val="nil"/>
                <w:right w:val="nil"/>
                <w:between w:val="nil"/>
              </w:pBdr>
              <w:spacing w:after="200"/>
              <w:jc w:val="both"/>
              <w:rPr>
                <w:rFonts w:ascii="Century Gothic" w:eastAsia="Century Gothic" w:hAnsi="Century Gothic" w:cs="Century Gothic"/>
                <w:color w:val="000000"/>
              </w:rPr>
            </w:pPr>
            <w:r>
              <w:rPr>
                <w:rFonts w:ascii="Century Gothic" w:eastAsia="Century Gothic" w:hAnsi="Century Gothic" w:cs="Century Gothic"/>
                <w:color w:val="000000"/>
              </w:rPr>
              <w:lastRenderedPageBreak/>
              <w:t>Numeral 2, literal d)</w:t>
            </w:r>
          </w:p>
        </w:tc>
        <w:tc>
          <w:tcPr>
            <w:tcW w:w="5780" w:type="dxa"/>
          </w:tcPr>
          <w:p w:rsidR="00BE3162" w:rsidRDefault="00C00C6D">
            <w:pPr>
              <w:pBdr>
                <w:top w:val="nil"/>
                <w:left w:val="nil"/>
                <w:bottom w:val="nil"/>
                <w:right w:val="nil"/>
                <w:between w:val="nil"/>
              </w:pBdr>
              <w:spacing w:after="200"/>
              <w:jc w:val="both"/>
              <w:rPr>
                <w:rFonts w:ascii="Century Gothic" w:eastAsia="Century Gothic" w:hAnsi="Century Gothic" w:cs="Century Gothic"/>
                <w:color w:val="000000"/>
              </w:rPr>
            </w:pPr>
            <w:r>
              <w:rPr>
                <w:rFonts w:ascii="Century Gothic" w:eastAsia="Century Gothic" w:hAnsi="Century Gothic" w:cs="Century Gothic"/>
                <w:color w:val="000000"/>
              </w:rPr>
              <w:t>Amonestación.</w:t>
            </w:r>
          </w:p>
        </w:tc>
      </w:tr>
      <w:tr w:rsidR="00BE3162">
        <w:tc>
          <w:tcPr>
            <w:tcW w:w="3136" w:type="dxa"/>
          </w:tcPr>
          <w:p w:rsidR="00BE3162" w:rsidRDefault="00C00C6D">
            <w:pPr>
              <w:pBdr>
                <w:top w:val="nil"/>
                <w:left w:val="nil"/>
                <w:bottom w:val="nil"/>
                <w:right w:val="nil"/>
                <w:between w:val="nil"/>
              </w:pBdr>
              <w:spacing w:after="200"/>
              <w:jc w:val="both"/>
              <w:rPr>
                <w:rFonts w:ascii="Century Gothic" w:eastAsia="Century Gothic" w:hAnsi="Century Gothic" w:cs="Century Gothic"/>
                <w:color w:val="000000"/>
              </w:rPr>
            </w:pPr>
            <w:r>
              <w:rPr>
                <w:rFonts w:ascii="Century Gothic" w:eastAsia="Century Gothic" w:hAnsi="Century Gothic" w:cs="Century Gothic"/>
                <w:color w:val="000000"/>
              </w:rPr>
              <w:t>Numeral 2, literal e)</w:t>
            </w:r>
          </w:p>
        </w:tc>
        <w:tc>
          <w:tcPr>
            <w:tcW w:w="5780" w:type="dxa"/>
          </w:tcPr>
          <w:p w:rsidR="00BE3162" w:rsidRDefault="00C00C6D">
            <w:pPr>
              <w:pBdr>
                <w:top w:val="nil"/>
                <w:left w:val="nil"/>
                <w:bottom w:val="nil"/>
                <w:right w:val="nil"/>
                <w:between w:val="nil"/>
              </w:pBdr>
              <w:spacing w:after="200"/>
              <w:jc w:val="both"/>
              <w:rPr>
                <w:rFonts w:ascii="Century Gothic" w:eastAsia="Century Gothic" w:hAnsi="Century Gothic" w:cs="Century Gothic"/>
                <w:color w:val="000000"/>
              </w:rPr>
            </w:pPr>
            <w:r>
              <w:rPr>
                <w:rFonts w:ascii="Century Gothic" w:eastAsia="Century Gothic" w:hAnsi="Century Gothic" w:cs="Century Gothic"/>
                <w:color w:val="000000"/>
              </w:rPr>
              <w:t>Multa general tipo 1.</w:t>
            </w:r>
          </w:p>
        </w:tc>
      </w:tr>
    </w:tbl>
    <w:p w:rsidR="00BE3162" w:rsidRDefault="00BE3162">
      <w:pPr>
        <w:pBdr>
          <w:top w:val="nil"/>
          <w:left w:val="nil"/>
          <w:bottom w:val="nil"/>
          <w:right w:val="nil"/>
          <w:between w:val="nil"/>
        </w:pBdr>
        <w:spacing w:after="200"/>
        <w:jc w:val="both"/>
        <w:rPr>
          <w:rFonts w:ascii="Century Gothic" w:eastAsia="Century Gothic" w:hAnsi="Century Gothic" w:cs="Century Gothic"/>
          <w:b/>
        </w:rPr>
      </w:pPr>
    </w:p>
    <w:p w:rsidR="00BE3162" w:rsidRDefault="00C00C6D">
      <w:pPr>
        <w:pBdr>
          <w:top w:val="nil"/>
          <w:left w:val="nil"/>
          <w:bottom w:val="nil"/>
          <w:right w:val="nil"/>
          <w:between w:val="nil"/>
        </w:pBdr>
        <w:spacing w:after="200"/>
        <w:jc w:val="both"/>
        <w:rPr>
          <w:rFonts w:ascii="Century Gothic" w:eastAsia="Century Gothic" w:hAnsi="Century Gothic" w:cs="Century Gothic"/>
          <w:color w:val="000000"/>
        </w:rPr>
      </w:pPr>
      <w:r>
        <w:rPr>
          <w:rFonts w:ascii="Century Gothic" w:eastAsia="Century Gothic" w:hAnsi="Century Gothic" w:cs="Century Gothic"/>
          <w:b/>
          <w:color w:val="000000"/>
        </w:rPr>
        <w:t>Artículo 3. Vigencia</w:t>
      </w:r>
      <w:r>
        <w:rPr>
          <w:rFonts w:ascii="Century Gothic" w:eastAsia="Century Gothic" w:hAnsi="Century Gothic" w:cs="Century Gothic"/>
          <w:color w:val="000000"/>
        </w:rPr>
        <w:t xml:space="preserve">. La presente ley rige a partir de su promulgación y deroga todas las disposiciones que le sean contrarias. </w:t>
      </w:r>
    </w:p>
    <w:p w:rsidR="00BE3162" w:rsidRDefault="00C00C6D">
      <w:pPr>
        <w:pBdr>
          <w:top w:val="nil"/>
          <w:left w:val="nil"/>
          <w:bottom w:val="nil"/>
          <w:right w:val="nil"/>
          <w:between w:val="nil"/>
        </w:pBdr>
        <w:spacing w:after="200"/>
        <w:jc w:val="both"/>
        <w:rPr>
          <w:rFonts w:ascii="Century Gothic" w:eastAsia="Century Gothic" w:hAnsi="Century Gothic" w:cs="Century Gothic"/>
          <w:color w:val="000000"/>
        </w:rPr>
      </w:pPr>
      <w:r>
        <w:rPr>
          <w:rFonts w:ascii="Century Gothic" w:eastAsia="Century Gothic" w:hAnsi="Century Gothic" w:cs="Century Gothic"/>
          <w:color w:val="000000"/>
        </w:rPr>
        <w:t>De los Honorables Representantes:</w:t>
      </w:r>
    </w:p>
    <w:tbl>
      <w:tblPr>
        <w:tblStyle w:val="a4"/>
        <w:tblW w:w="8852"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428"/>
        <w:gridCol w:w="4224"/>
        <w:gridCol w:w="200"/>
      </w:tblGrid>
      <w:tr w:rsidR="00BE3162">
        <w:trPr>
          <w:trHeight w:val="2180"/>
        </w:trPr>
        <w:tc>
          <w:tcPr>
            <w:tcW w:w="4428" w:type="dxa"/>
          </w:tcPr>
          <w:p w:rsidR="00BE3162" w:rsidRDefault="00BE3162">
            <w:pPr>
              <w:jc w:val="both"/>
              <w:rPr>
                <w:rFonts w:ascii="Century Gothic" w:eastAsia="Century Gothic" w:hAnsi="Century Gothic" w:cs="Century Gothic"/>
                <w:b/>
              </w:rPr>
            </w:pPr>
          </w:p>
          <w:p w:rsidR="00BE3162" w:rsidRDefault="00BE3162">
            <w:pPr>
              <w:jc w:val="both"/>
              <w:rPr>
                <w:rFonts w:ascii="Century Gothic" w:eastAsia="Century Gothic" w:hAnsi="Century Gothic" w:cs="Century Gothic"/>
                <w:b/>
              </w:rPr>
            </w:pPr>
          </w:p>
          <w:p w:rsidR="00BE3162" w:rsidRDefault="00BE3162">
            <w:pPr>
              <w:jc w:val="both"/>
              <w:rPr>
                <w:rFonts w:ascii="Century Gothic" w:eastAsia="Century Gothic" w:hAnsi="Century Gothic" w:cs="Century Gothic"/>
                <w:b/>
              </w:rPr>
            </w:pPr>
          </w:p>
          <w:p w:rsidR="00BE3162" w:rsidRDefault="00E10A6D" w:rsidP="00E10A6D">
            <w:pPr>
              <w:tabs>
                <w:tab w:val="left" w:pos="1427"/>
              </w:tabs>
              <w:jc w:val="both"/>
              <w:rPr>
                <w:rFonts w:ascii="Century Gothic" w:eastAsia="Century Gothic" w:hAnsi="Century Gothic" w:cs="Century Gothic"/>
                <w:b/>
              </w:rPr>
            </w:pPr>
            <w:r>
              <w:rPr>
                <w:rFonts w:ascii="Century Gothic" w:eastAsia="Century Gothic" w:hAnsi="Century Gothic" w:cs="Century Gothic"/>
                <w:b/>
              </w:rPr>
              <w:tab/>
            </w:r>
          </w:p>
          <w:p w:rsidR="00BE3162" w:rsidRDefault="00BE3162">
            <w:pPr>
              <w:jc w:val="both"/>
              <w:rPr>
                <w:rFonts w:ascii="Century Gothic" w:eastAsia="Century Gothic" w:hAnsi="Century Gothic" w:cs="Century Gothic"/>
                <w:b/>
              </w:rPr>
            </w:pPr>
          </w:p>
          <w:p w:rsidR="00BE3162" w:rsidRDefault="00BE3162">
            <w:pPr>
              <w:jc w:val="both"/>
              <w:rPr>
                <w:rFonts w:ascii="Century Gothic" w:eastAsia="Century Gothic" w:hAnsi="Century Gothic" w:cs="Century Gothic"/>
                <w:b/>
              </w:rPr>
            </w:pPr>
          </w:p>
          <w:p w:rsidR="00BE3162" w:rsidRDefault="00C00C6D">
            <w:pPr>
              <w:jc w:val="both"/>
              <w:rPr>
                <w:rFonts w:ascii="Century Gothic" w:eastAsia="Century Gothic" w:hAnsi="Century Gothic" w:cs="Century Gothic"/>
                <w:b/>
              </w:rPr>
            </w:pPr>
            <w:r>
              <w:rPr>
                <w:rFonts w:ascii="Century Gothic" w:eastAsia="Century Gothic" w:hAnsi="Century Gothic" w:cs="Century Gothic"/>
                <w:b/>
              </w:rPr>
              <w:t>JUAN MANUEL DAZA IGUARÁN</w:t>
            </w:r>
          </w:p>
          <w:p w:rsidR="00BE3162" w:rsidRDefault="00C00C6D">
            <w:pPr>
              <w:jc w:val="both"/>
              <w:rPr>
                <w:rFonts w:ascii="Century Gothic" w:eastAsia="Century Gothic" w:hAnsi="Century Gothic" w:cs="Century Gothic"/>
              </w:rPr>
            </w:pPr>
            <w:r>
              <w:rPr>
                <w:rFonts w:ascii="Century Gothic" w:eastAsia="Century Gothic" w:hAnsi="Century Gothic" w:cs="Century Gothic"/>
              </w:rPr>
              <w:t>Representante a la Cámara</w:t>
            </w:r>
          </w:p>
          <w:p w:rsidR="00BE3162" w:rsidRDefault="00C00C6D">
            <w:pPr>
              <w:jc w:val="both"/>
              <w:rPr>
                <w:rFonts w:ascii="Century Gothic" w:eastAsia="Century Gothic" w:hAnsi="Century Gothic" w:cs="Century Gothic"/>
              </w:rPr>
            </w:pPr>
            <w:r>
              <w:rPr>
                <w:rFonts w:ascii="Century Gothic" w:eastAsia="Century Gothic" w:hAnsi="Century Gothic" w:cs="Century Gothic"/>
              </w:rPr>
              <w:t>Partido Centro Democrático</w:t>
            </w:r>
          </w:p>
        </w:tc>
        <w:tc>
          <w:tcPr>
            <w:tcW w:w="4424" w:type="dxa"/>
            <w:gridSpan w:val="2"/>
          </w:tcPr>
          <w:p w:rsidR="00BE3162" w:rsidRDefault="00BE3162">
            <w:pPr>
              <w:ind w:left="182" w:hanging="182"/>
              <w:jc w:val="both"/>
              <w:rPr>
                <w:rFonts w:ascii="Century Gothic" w:eastAsia="Century Gothic" w:hAnsi="Century Gothic" w:cs="Century Gothic"/>
                <w:b/>
              </w:rPr>
            </w:pPr>
          </w:p>
          <w:p w:rsidR="00BE3162" w:rsidRDefault="00BE3162">
            <w:pPr>
              <w:ind w:left="182" w:hanging="182"/>
              <w:jc w:val="both"/>
              <w:rPr>
                <w:rFonts w:ascii="Century Gothic" w:eastAsia="Century Gothic" w:hAnsi="Century Gothic" w:cs="Century Gothic"/>
                <w:b/>
              </w:rPr>
            </w:pPr>
          </w:p>
          <w:p w:rsidR="00BE3162" w:rsidRDefault="00BE3162">
            <w:pPr>
              <w:ind w:left="182" w:hanging="182"/>
              <w:jc w:val="both"/>
              <w:rPr>
                <w:rFonts w:ascii="Century Gothic" w:eastAsia="Century Gothic" w:hAnsi="Century Gothic" w:cs="Century Gothic"/>
                <w:b/>
              </w:rPr>
            </w:pPr>
          </w:p>
          <w:p w:rsidR="00BE3162" w:rsidRDefault="00BE3162">
            <w:pPr>
              <w:ind w:left="182" w:hanging="182"/>
              <w:jc w:val="both"/>
              <w:rPr>
                <w:rFonts w:ascii="Century Gothic" w:eastAsia="Century Gothic" w:hAnsi="Century Gothic" w:cs="Century Gothic"/>
                <w:b/>
              </w:rPr>
            </w:pPr>
          </w:p>
          <w:p w:rsidR="00BE3162" w:rsidRDefault="00BE3162">
            <w:pPr>
              <w:jc w:val="both"/>
              <w:rPr>
                <w:rFonts w:ascii="Century Gothic" w:eastAsia="Century Gothic" w:hAnsi="Century Gothic" w:cs="Century Gothic"/>
                <w:b/>
              </w:rPr>
            </w:pPr>
          </w:p>
          <w:p w:rsidR="00BE3162" w:rsidRDefault="00BE3162">
            <w:pPr>
              <w:ind w:left="182" w:hanging="182"/>
              <w:jc w:val="both"/>
              <w:rPr>
                <w:rFonts w:ascii="Century Gothic" w:eastAsia="Century Gothic" w:hAnsi="Century Gothic" w:cs="Century Gothic"/>
                <w:b/>
              </w:rPr>
            </w:pPr>
          </w:p>
          <w:p w:rsidR="00BE3162" w:rsidRDefault="00C00C6D">
            <w:pPr>
              <w:ind w:left="182" w:hanging="182"/>
              <w:jc w:val="both"/>
              <w:rPr>
                <w:rFonts w:ascii="Century Gothic" w:eastAsia="Century Gothic" w:hAnsi="Century Gothic" w:cs="Century Gothic"/>
                <w:b/>
              </w:rPr>
            </w:pPr>
            <w:r>
              <w:rPr>
                <w:rFonts w:ascii="Century Gothic" w:eastAsia="Century Gothic" w:hAnsi="Century Gothic" w:cs="Century Gothic"/>
                <w:b/>
              </w:rPr>
              <w:t>BUENAVENTURA LEÓN LEÓN</w:t>
            </w:r>
          </w:p>
          <w:p w:rsidR="00BE3162" w:rsidRDefault="00C00C6D">
            <w:pPr>
              <w:ind w:left="182" w:hanging="182"/>
              <w:jc w:val="both"/>
              <w:rPr>
                <w:rFonts w:ascii="Century Gothic" w:eastAsia="Century Gothic" w:hAnsi="Century Gothic" w:cs="Century Gothic"/>
              </w:rPr>
            </w:pPr>
            <w:r>
              <w:rPr>
                <w:rFonts w:ascii="Century Gothic" w:eastAsia="Century Gothic" w:hAnsi="Century Gothic" w:cs="Century Gothic"/>
              </w:rPr>
              <w:t>Representante a la Cámara</w:t>
            </w:r>
          </w:p>
          <w:p w:rsidR="00BE3162" w:rsidRDefault="00C00C6D">
            <w:pPr>
              <w:ind w:left="182" w:hanging="182"/>
              <w:jc w:val="both"/>
              <w:rPr>
                <w:rFonts w:ascii="Century Gothic" w:eastAsia="Century Gothic" w:hAnsi="Century Gothic" w:cs="Century Gothic"/>
                <w:b/>
              </w:rPr>
            </w:pPr>
            <w:r>
              <w:rPr>
                <w:rFonts w:ascii="Century Gothic" w:eastAsia="Century Gothic" w:hAnsi="Century Gothic" w:cs="Century Gothic"/>
              </w:rPr>
              <w:t>Partido Conservador</w:t>
            </w:r>
          </w:p>
        </w:tc>
      </w:tr>
      <w:tr w:rsidR="00BE3162">
        <w:trPr>
          <w:gridAfter w:val="1"/>
          <w:wAfter w:w="200" w:type="dxa"/>
          <w:trHeight w:val="1880"/>
        </w:trPr>
        <w:tc>
          <w:tcPr>
            <w:tcW w:w="4428" w:type="dxa"/>
          </w:tcPr>
          <w:p w:rsidR="00BE3162" w:rsidRDefault="00BE3162">
            <w:pPr>
              <w:jc w:val="both"/>
              <w:rPr>
                <w:rFonts w:ascii="Century Gothic" w:eastAsia="Century Gothic" w:hAnsi="Century Gothic" w:cs="Century Gothic"/>
                <w:b/>
              </w:rPr>
            </w:pPr>
          </w:p>
          <w:p w:rsidR="00BE3162" w:rsidRDefault="00BE3162">
            <w:pPr>
              <w:jc w:val="both"/>
              <w:rPr>
                <w:rFonts w:ascii="Century Gothic" w:eastAsia="Century Gothic" w:hAnsi="Century Gothic" w:cs="Century Gothic"/>
                <w:b/>
              </w:rPr>
            </w:pPr>
          </w:p>
          <w:p w:rsidR="00BE3162" w:rsidRDefault="00BE3162">
            <w:pPr>
              <w:jc w:val="both"/>
              <w:rPr>
                <w:rFonts w:ascii="Century Gothic" w:eastAsia="Century Gothic" w:hAnsi="Century Gothic" w:cs="Century Gothic"/>
                <w:b/>
              </w:rPr>
            </w:pPr>
          </w:p>
          <w:p w:rsidR="00BE3162" w:rsidRDefault="00BE3162">
            <w:pPr>
              <w:jc w:val="both"/>
              <w:rPr>
                <w:rFonts w:ascii="Century Gothic" w:eastAsia="Century Gothic" w:hAnsi="Century Gothic" w:cs="Century Gothic"/>
                <w:b/>
              </w:rPr>
            </w:pPr>
          </w:p>
          <w:p w:rsidR="00BE3162" w:rsidRDefault="00BE3162">
            <w:pPr>
              <w:jc w:val="both"/>
              <w:rPr>
                <w:rFonts w:ascii="Century Gothic" w:eastAsia="Century Gothic" w:hAnsi="Century Gothic" w:cs="Century Gothic"/>
                <w:b/>
              </w:rPr>
            </w:pPr>
          </w:p>
          <w:p w:rsidR="00BE3162" w:rsidRDefault="00BE3162">
            <w:pPr>
              <w:jc w:val="both"/>
              <w:rPr>
                <w:rFonts w:ascii="Century Gothic" w:eastAsia="Century Gothic" w:hAnsi="Century Gothic" w:cs="Century Gothic"/>
                <w:b/>
              </w:rPr>
            </w:pPr>
          </w:p>
          <w:p w:rsidR="00BE3162" w:rsidRDefault="00BE3162">
            <w:pPr>
              <w:jc w:val="both"/>
              <w:rPr>
                <w:rFonts w:ascii="Century Gothic" w:eastAsia="Century Gothic" w:hAnsi="Century Gothic" w:cs="Century Gothic"/>
                <w:b/>
              </w:rPr>
            </w:pPr>
          </w:p>
          <w:p w:rsidR="00BE3162" w:rsidRDefault="00BE3162">
            <w:pPr>
              <w:jc w:val="both"/>
              <w:rPr>
                <w:rFonts w:ascii="Century Gothic" w:eastAsia="Century Gothic" w:hAnsi="Century Gothic" w:cs="Century Gothic"/>
              </w:rPr>
            </w:pPr>
          </w:p>
        </w:tc>
        <w:tc>
          <w:tcPr>
            <w:tcW w:w="4224" w:type="dxa"/>
          </w:tcPr>
          <w:p w:rsidR="00BE3162" w:rsidRDefault="00BE3162">
            <w:pPr>
              <w:ind w:left="182" w:hanging="182"/>
              <w:jc w:val="both"/>
              <w:rPr>
                <w:rFonts w:ascii="Century Gothic" w:eastAsia="Century Gothic" w:hAnsi="Century Gothic" w:cs="Century Gothic"/>
                <w:b/>
              </w:rPr>
            </w:pPr>
          </w:p>
          <w:p w:rsidR="00BE3162" w:rsidRDefault="00BE3162">
            <w:pPr>
              <w:ind w:left="182" w:hanging="182"/>
              <w:jc w:val="both"/>
              <w:rPr>
                <w:rFonts w:ascii="Century Gothic" w:eastAsia="Century Gothic" w:hAnsi="Century Gothic" w:cs="Century Gothic"/>
                <w:b/>
              </w:rPr>
            </w:pPr>
          </w:p>
          <w:p w:rsidR="00BE3162" w:rsidRDefault="00BE3162">
            <w:pPr>
              <w:ind w:left="182" w:hanging="182"/>
              <w:jc w:val="both"/>
              <w:rPr>
                <w:rFonts w:ascii="Century Gothic" w:eastAsia="Century Gothic" w:hAnsi="Century Gothic" w:cs="Century Gothic"/>
                <w:b/>
              </w:rPr>
            </w:pPr>
          </w:p>
          <w:p w:rsidR="00BE3162" w:rsidRDefault="00BE3162">
            <w:pPr>
              <w:ind w:left="182" w:hanging="182"/>
              <w:jc w:val="both"/>
              <w:rPr>
                <w:rFonts w:ascii="Century Gothic" w:eastAsia="Century Gothic" w:hAnsi="Century Gothic" w:cs="Century Gothic"/>
                <w:b/>
              </w:rPr>
            </w:pPr>
          </w:p>
          <w:p w:rsidR="00BE3162" w:rsidRDefault="00BE3162">
            <w:pPr>
              <w:ind w:left="182" w:hanging="182"/>
              <w:jc w:val="both"/>
              <w:rPr>
                <w:rFonts w:ascii="Century Gothic" w:eastAsia="Century Gothic" w:hAnsi="Century Gothic" w:cs="Century Gothic"/>
                <w:b/>
              </w:rPr>
            </w:pPr>
          </w:p>
          <w:p w:rsidR="00BE3162" w:rsidRDefault="00BE3162">
            <w:pPr>
              <w:jc w:val="both"/>
              <w:rPr>
                <w:rFonts w:ascii="Century Gothic" w:eastAsia="Century Gothic" w:hAnsi="Century Gothic" w:cs="Century Gothic"/>
                <w:b/>
              </w:rPr>
            </w:pPr>
          </w:p>
          <w:p w:rsidR="00BE3162" w:rsidRDefault="00BE3162">
            <w:pPr>
              <w:jc w:val="both"/>
              <w:rPr>
                <w:rFonts w:ascii="Century Gothic" w:eastAsia="Century Gothic" w:hAnsi="Century Gothic" w:cs="Century Gothic"/>
                <w:b/>
              </w:rPr>
            </w:pPr>
          </w:p>
          <w:p w:rsidR="00BE3162" w:rsidRDefault="00BE3162">
            <w:pPr>
              <w:ind w:left="182" w:hanging="182"/>
              <w:jc w:val="both"/>
              <w:rPr>
                <w:rFonts w:ascii="Century Gothic" w:eastAsia="Century Gothic" w:hAnsi="Century Gothic" w:cs="Century Gothic"/>
                <w:b/>
              </w:rPr>
            </w:pPr>
          </w:p>
        </w:tc>
      </w:tr>
      <w:tr w:rsidR="00BE3162">
        <w:trPr>
          <w:gridAfter w:val="1"/>
          <w:wAfter w:w="200" w:type="dxa"/>
          <w:trHeight w:val="1880"/>
        </w:trPr>
        <w:tc>
          <w:tcPr>
            <w:tcW w:w="4428" w:type="dxa"/>
          </w:tcPr>
          <w:p w:rsidR="00E10A6D" w:rsidRDefault="00E10A6D" w:rsidP="00E10A6D">
            <w:pPr>
              <w:jc w:val="both"/>
              <w:rPr>
                <w:rFonts w:ascii="Century Gothic" w:eastAsia="Century Gothic" w:hAnsi="Century Gothic" w:cs="Century Gothic"/>
                <w:b/>
              </w:rPr>
            </w:pPr>
            <w:r>
              <w:rPr>
                <w:rFonts w:ascii="Century Gothic" w:eastAsia="Century Gothic" w:hAnsi="Century Gothic" w:cs="Century Gothic"/>
                <w:b/>
              </w:rPr>
              <w:t>JORGE ENRIQUE BURGOS LUGO</w:t>
            </w:r>
          </w:p>
          <w:p w:rsidR="00E10A6D" w:rsidRDefault="00E10A6D" w:rsidP="00E10A6D">
            <w:pPr>
              <w:jc w:val="both"/>
              <w:rPr>
                <w:rFonts w:ascii="Century Gothic" w:eastAsia="Century Gothic" w:hAnsi="Century Gothic" w:cs="Century Gothic"/>
              </w:rPr>
            </w:pPr>
            <w:r>
              <w:rPr>
                <w:rFonts w:ascii="Century Gothic" w:eastAsia="Century Gothic" w:hAnsi="Century Gothic" w:cs="Century Gothic"/>
              </w:rPr>
              <w:t>Representante a la Cámara</w:t>
            </w:r>
          </w:p>
          <w:p w:rsidR="00BE3162" w:rsidRDefault="00E10A6D" w:rsidP="00E10A6D">
            <w:pPr>
              <w:jc w:val="both"/>
              <w:rPr>
                <w:rFonts w:ascii="Century Gothic" w:eastAsia="Century Gothic" w:hAnsi="Century Gothic" w:cs="Century Gothic"/>
                <w:b/>
              </w:rPr>
            </w:pPr>
            <w:r>
              <w:rPr>
                <w:rFonts w:ascii="Century Gothic" w:eastAsia="Century Gothic" w:hAnsi="Century Gothic" w:cs="Century Gothic"/>
              </w:rPr>
              <w:t>Partido de la U</w:t>
            </w:r>
          </w:p>
          <w:p w:rsidR="00BE3162" w:rsidRDefault="00BE3162">
            <w:pPr>
              <w:jc w:val="both"/>
              <w:rPr>
                <w:rFonts w:ascii="Century Gothic" w:eastAsia="Century Gothic" w:hAnsi="Century Gothic" w:cs="Century Gothic"/>
                <w:b/>
              </w:rPr>
            </w:pPr>
          </w:p>
          <w:p w:rsidR="00BE3162" w:rsidRDefault="00BE3162">
            <w:pPr>
              <w:jc w:val="both"/>
              <w:rPr>
                <w:rFonts w:ascii="Century Gothic" w:eastAsia="Century Gothic" w:hAnsi="Century Gothic" w:cs="Century Gothic"/>
                <w:b/>
              </w:rPr>
            </w:pPr>
          </w:p>
          <w:p w:rsidR="00BE3162" w:rsidRDefault="00BE3162">
            <w:pPr>
              <w:jc w:val="both"/>
              <w:rPr>
                <w:rFonts w:ascii="Century Gothic" w:eastAsia="Century Gothic" w:hAnsi="Century Gothic" w:cs="Century Gothic"/>
                <w:b/>
              </w:rPr>
            </w:pPr>
          </w:p>
          <w:p w:rsidR="00BE3162" w:rsidRDefault="00BE3162">
            <w:pPr>
              <w:jc w:val="both"/>
              <w:rPr>
                <w:rFonts w:ascii="Century Gothic" w:eastAsia="Century Gothic" w:hAnsi="Century Gothic" w:cs="Century Gothic"/>
                <w:b/>
              </w:rPr>
            </w:pPr>
          </w:p>
          <w:p w:rsidR="00E10A6D" w:rsidRDefault="00E10A6D">
            <w:pPr>
              <w:jc w:val="both"/>
              <w:rPr>
                <w:rFonts w:ascii="Century Gothic" w:eastAsia="Century Gothic" w:hAnsi="Century Gothic" w:cs="Century Gothic"/>
                <w:b/>
              </w:rPr>
            </w:pPr>
          </w:p>
          <w:p w:rsidR="00E10A6D" w:rsidRDefault="00E10A6D">
            <w:pPr>
              <w:jc w:val="both"/>
              <w:rPr>
                <w:rFonts w:ascii="Century Gothic" w:eastAsia="Century Gothic" w:hAnsi="Century Gothic" w:cs="Century Gothic"/>
                <w:b/>
              </w:rPr>
            </w:pPr>
          </w:p>
          <w:p w:rsidR="00BE3162" w:rsidRDefault="00BE3162">
            <w:pPr>
              <w:jc w:val="both"/>
              <w:rPr>
                <w:rFonts w:ascii="Century Gothic" w:eastAsia="Century Gothic" w:hAnsi="Century Gothic" w:cs="Century Gothic"/>
                <w:b/>
              </w:rPr>
            </w:pPr>
          </w:p>
          <w:p w:rsidR="00E10A6D" w:rsidRDefault="00E10A6D" w:rsidP="00E10A6D">
            <w:pPr>
              <w:jc w:val="both"/>
              <w:rPr>
                <w:rFonts w:ascii="Century Gothic" w:eastAsia="Century Gothic" w:hAnsi="Century Gothic" w:cs="Century Gothic"/>
                <w:b/>
              </w:rPr>
            </w:pPr>
            <w:r>
              <w:rPr>
                <w:rFonts w:ascii="Century Gothic" w:eastAsia="Century Gothic" w:hAnsi="Century Gothic" w:cs="Century Gothic"/>
                <w:b/>
              </w:rPr>
              <w:t>JORGE MÉNDEZ HERNÁNDEZ</w:t>
            </w:r>
          </w:p>
          <w:p w:rsidR="00E10A6D" w:rsidRDefault="00E10A6D" w:rsidP="00E10A6D">
            <w:pPr>
              <w:ind w:left="182" w:hanging="182"/>
              <w:jc w:val="both"/>
              <w:rPr>
                <w:rFonts w:ascii="Century Gothic" w:eastAsia="Century Gothic" w:hAnsi="Century Gothic" w:cs="Century Gothic"/>
              </w:rPr>
            </w:pPr>
            <w:r>
              <w:rPr>
                <w:rFonts w:ascii="Century Gothic" w:eastAsia="Century Gothic" w:hAnsi="Century Gothic" w:cs="Century Gothic"/>
              </w:rPr>
              <w:t>Representante a la Cámara</w:t>
            </w:r>
          </w:p>
          <w:p w:rsidR="00BE3162" w:rsidRDefault="00E10A6D" w:rsidP="00E10A6D">
            <w:pPr>
              <w:jc w:val="both"/>
              <w:rPr>
                <w:rFonts w:ascii="Century Gothic" w:eastAsia="Century Gothic" w:hAnsi="Century Gothic" w:cs="Century Gothic"/>
              </w:rPr>
            </w:pPr>
            <w:r>
              <w:rPr>
                <w:rFonts w:ascii="Century Gothic" w:eastAsia="Century Gothic" w:hAnsi="Century Gothic" w:cs="Century Gothic"/>
              </w:rPr>
              <w:t>Partido Cambio Radical</w:t>
            </w:r>
          </w:p>
        </w:tc>
        <w:tc>
          <w:tcPr>
            <w:tcW w:w="4224" w:type="dxa"/>
          </w:tcPr>
          <w:p w:rsidR="00E10A6D" w:rsidRDefault="00E10A6D" w:rsidP="00E10A6D">
            <w:pPr>
              <w:jc w:val="both"/>
              <w:rPr>
                <w:rFonts w:ascii="Century Gothic" w:eastAsia="Century Gothic" w:hAnsi="Century Gothic" w:cs="Century Gothic"/>
                <w:b/>
              </w:rPr>
            </w:pPr>
            <w:r>
              <w:rPr>
                <w:rFonts w:ascii="Century Gothic" w:eastAsia="Century Gothic" w:hAnsi="Century Gothic" w:cs="Century Gothic"/>
                <w:b/>
              </w:rPr>
              <w:t>HERNÁN GUSTAVO ESTUPIÑÁN C.</w:t>
            </w:r>
          </w:p>
          <w:p w:rsidR="00E10A6D" w:rsidRDefault="00E10A6D" w:rsidP="00E10A6D">
            <w:pPr>
              <w:jc w:val="both"/>
              <w:rPr>
                <w:rFonts w:ascii="Century Gothic" w:eastAsia="Century Gothic" w:hAnsi="Century Gothic" w:cs="Century Gothic"/>
              </w:rPr>
            </w:pPr>
            <w:r>
              <w:rPr>
                <w:rFonts w:ascii="Century Gothic" w:eastAsia="Century Gothic" w:hAnsi="Century Gothic" w:cs="Century Gothic"/>
              </w:rPr>
              <w:t>Representante a la Cámara</w:t>
            </w:r>
          </w:p>
          <w:p w:rsidR="00BE3162" w:rsidRDefault="00E10A6D" w:rsidP="00E10A6D">
            <w:pPr>
              <w:ind w:left="182" w:hanging="182"/>
              <w:jc w:val="both"/>
              <w:rPr>
                <w:rFonts w:ascii="Century Gothic" w:eastAsia="Century Gothic" w:hAnsi="Century Gothic" w:cs="Century Gothic"/>
                <w:b/>
              </w:rPr>
            </w:pPr>
            <w:r>
              <w:rPr>
                <w:rFonts w:ascii="Century Gothic" w:eastAsia="Century Gothic" w:hAnsi="Century Gothic" w:cs="Century Gothic"/>
              </w:rPr>
              <w:t>Partido Liberal</w:t>
            </w:r>
          </w:p>
          <w:p w:rsidR="00BE3162" w:rsidRDefault="00BE3162">
            <w:pPr>
              <w:ind w:left="182" w:hanging="182"/>
              <w:jc w:val="both"/>
              <w:rPr>
                <w:rFonts w:ascii="Century Gothic" w:eastAsia="Century Gothic" w:hAnsi="Century Gothic" w:cs="Century Gothic"/>
                <w:b/>
              </w:rPr>
            </w:pPr>
          </w:p>
          <w:p w:rsidR="00BE3162" w:rsidRDefault="00BE3162">
            <w:pPr>
              <w:ind w:left="182" w:hanging="182"/>
              <w:jc w:val="both"/>
              <w:rPr>
                <w:rFonts w:ascii="Century Gothic" w:eastAsia="Century Gothic" w:hAnsi="Century Gothic" w:cs="Century Gothic"/>
                <w:b/>
              </w:rPr>
            </w:pPr>
          </w:p>
          <w:p w:rsidR="00BE3162" w:rsidRDefault="00BE3162">
            <w:pPr>
              <w:ind w:left="182" w:hanging="182"/>
              <w:jc w:val="both"/>
              <w:rPr>
                <w:rFonts w:ascii="Century Gothic" w:eastAsia="Century Gothic" w:hAnsi="Century Gothic" w:cs="Century Gothic"/>
                <w:b/>
              </w:rPr>
            </w:pPr>
          </w:p>
          <w:p w:rsidR="00BE3162" w:rsidRDefault="00BE3162">
            <w:pPr>
              <w:ind w:left="182" w:hanging="182"/>
              <w:jc w:val="both"/>
              <w:rPr>
                <w:rFonts w:ascii="Century Gothic" w:eastAsia="Century Gothic" w:hAnsi="Century Gothic" w:cs="Century Gothic"/>
                <w:b/>
              </w:rPr>
            </w:pPr>
          </w:p>
          <w:p w:rsidR="00BE3162" w:rsidRDefault="00BE3162">
            <w:pPr>
              <w:jc w:val="both"/>
              <w:rPr>
                <w:rFonts w:ascii="Century Gothic" w:eastAsia="Century Gothic" w:hAnsi="Century Gothic" w:cs="Century Gothic"/>
                <w:b/>
              </w:rPr>
            </w:pPr>
          </w:p>
          <w:p w:rsidR="00BE3162" w:rsidRDefault="00BE3162">
            <w:pPr>
              <w:jc w:val="both"/>
              <w:rPr>
                <w:rFonts w:ascii="Century Gothic" w:eastAsia="Century Gothic" w:hAnsi="Century Gothic" w:cs="Century Gothic"/>
                <w:b/>
              </w:rPr>
            </w:pPr>
          </w:p>
          <w:p w:rsidR="00BE3162" w:rsidRDefault="00BE3162">
            <w:pPr>
              <w:jc w:val="both"/>
              <w:rPr>
                <w:rFonts w:ascii="Century Gothic" w:eastAsia="Century Gothic" w:hAnsi="Century Gothic" w:cs="Century Gothic"/>
                <w:b/>
              </w:rPr>
            </w:pPr>
          </w:p>
          <w:p w:rsidR="00BE3162" w:rsidRDefault="00BE3162">
            <w:pPr>
              <w:jc w:val="both"/>
              <w:rPr>
                <w:rFonts w:ascii="Century Gothic" w:eastAsia="Century Gothic" w:hAnsi="Century Gothic" w:cs="Century Gothic"/>
                <w:b/>
              </w:rPr>
            </w:pPr>
          </w:p>
        </w:tc>
      </w:tr>
    </w:tbl>
    <w:p w:rsidR="00BE3162" w:rsidRDefault="00BE3162" w:rsidP="00E10A6D">
      <w:pPr>
        <w:pBdr>
          <w:top w:val="nil"/>
          <w:left w:val="nil"/>
          <w:bottom w:val="nil"/>
          <w:right w:val="nil"/>
          <w:between w:val="nil"/>
        </w:pBdr>
        <w:spacing w:after="200"/>
        <w:jc w:val="both"/>
        <w:rPr>
          <w:rFonts w:ascii="Century Gothic" w:eastAsia="Century Gothic" w:hAnsi="Century Gothic" w:cs="Century Gothic"/>
          <w:color w:val="000000"/>
        </w:rPr>
      </w:pPr>
    </w:p>
    <w:sectPr w:rsidR="00BE3162">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65A1" w:rsidRDefault="00D865A1">
      <w:r>
        <w:separator/>
      </w:r>
    </w:p>
  </w:endnote>
  <w:endnote w:type="continuationSeparator" w:id="0">
    <w:p w:rsidR="00D865A1" w:rsidRDefault="00D86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webkit-standard">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65A1" w:rsidRDefault="00D865A1">
      <w:r>
        <w:separator/>
      </w:r>
    </w:p>
  </w:footnote>
  <w:footnote w:type="continuationSeparator" w:id="0">
    <w:p w:rsidR="00D865A1" w:rsidRDefault="00D865A1">
      <w:r>
        <w:continuationSeparator/>
      </w:r>
    </w:p>
  </w:footnote>
  <w:footnote w:id="1">
    <w:p w:rsidR="00BE3162" w:rsidRDefault="00C00C6D">
      <w:pPr>
        <w:rPr>
          <w:rFonts w:ascii="Century Gothic" w:eastAsia="Century Gothic" w:hAnsi="Century Gothic" w:cs="Century Gothic"/>
          <w:sz w:val="20"/>
          <w:szCs w:val="20"/>
        </w:rPr>
      </w:pPr>
      <w:r>
        <w:rPr>
          <w:vertAlign w:val="superscript"/>
        </w:rPr>
        <w:footnoteRef/>
      </w:r>
      <w:r>
        <w:rPr>
          <w:sz w:val="20"/>
          <w:szCs w:val="20"/>
        </w:rPr>
        <w:t xml:space="preserve"> </w:t>
      </w:r>
      <w:r>
        <w:rPr>
          <w:rFonts w:ascii="Century Gothic" w:eastAsia="Century Gothic" w:hAnsi="Century Gothic" w:cs="Century Gothic"/>
          <w:sz w:val="20"/>
          <w:szCs w:val="20"/>
        </w:rPr>
        <w:t>Alexy (2009: 30).</w:t>
      </w:r>
    </w:p>
  </w:footnote>
  <w:footnote w:id="2">
    <w:p w:rsidR="00BE3162" w:rsidRDefault="00C00C6D">
      <w:pPr>
        <w:rPr>
          <w:rFonts w:ascii="Century Gothic" w:eastAsia="Century Gothic" w:hAnsi="Century Gothic" w:cs="Century Gothic"/>
          <w:sz w:val="20"/>
          <w:szCs w:val="20"/>
        </w:rPr>
      </w:pPr>
      <w:r>
        <w:rPr>
          <w:vertAlign w:val="superscript"/>
        </w:rPr>
        <w:footnoteRef/>
      </w:r>
      <w:r>
        <w:rPr>
          <w:sz w:val="20"/>
          <w:szCs w:val="20"/>
        </w:rPr>
        <w:t xml:space="preserve"> </w:t>
      </w:r>
      <w:r>
        <w:rPr>
          <w:rFonts w:ascii="Century Gothic" w:eastAsia="Century Gothic" w:hAnsi="Century Gothic" w:cs="Century Gothic"/>
          <w:sz w:val="20"/>
          <w:szCs w:val="20"/>
          <w:highlight w:val="white"/>
        </w:rPr>
        <w:t>Sentencia sobre dosis personal (C-221 de 1994. M.P.: Dr. Carlos Gaviria).</w:t>
      </w:r>
    </w:p>
  </w:footnote>
  <w:footnote w:id="3">
    <w:p w:rsidR="00BC0C1F" w:rsidRPr="00BC0C1F" w:rsidRDefault="00BC0C1F" w:rsidP="00CF17FA">
      <w:pPr>
        <w:jc w:val="both"/>
        <w:rPr>
          <w:rFonts w:ascii="Century Gothic" w:eastAsia="Century Gothic" w:hAnsi="Century Gothic" w:cs="Century Gothic"/>
          <w:sz w:val="20"/>
          <w:szCs w:val="20"/>
        </w:rPr>
      </w:pPr>
      <w:r w:rsidRPr="00BC0C1F">
        <w:rPr>
          <w:rStyle w:val="Refdenotaalpie"/>
        </w:rPr>
        <w:footnoteRef/>
      </w:r>
      <w:r w:rsidRPr="00BC0C1F">
        <w:rPr>
          <w:rStyle w:val="Refdenotaalpie"/>
        </w:rPr>
        <w:t xml:space="preserve"> </w:t>
      </w:r>
      <w:r w:rsidRPr="00BC0C1F">
        <w:rPr>
          <w:rFonts w:ascii="Century Gothic" w:eastAsia="Century Gothic" w:hAnsi="Century Gothic" w:cs="Century Gothic"/>
          <w:sz w:val="20"/>
          <w:szCs w:val="20"/>
        </w:rPr>
        <w:t>Ley Argentina de Estupefacientes</w:t>
      </w:r>
    </w:p>
  </w:footnote>
  <w:footnote w:id="4">
    <w:p w:rsidR="00BC0C1F" w:rsidRPr="00BC0C1F" w:rsidRDefault="00BC0C1F" w:rsidP="00CF17FA">
      <w:pPr>
        <w:jc w:val="both"/>
        <w:rPr>
          <w:rFonts w:ascii="Century Gothic" w:eastAsia="Century Gothic" w:hAnsi="Century Gothic" w:cs="Century Gothic"/>
          <w:sz w:val="20"/>
          <w:szCs w:val="20"/>
        </w:rPr>
      </w:pPr>
      <w:r w:rsidRPr="00BC0C1F">
        <w:rPr>
          <w:rStyle w:val="Refdenotaalpie"/>
        </w:rPr>
        <w:footnoteRef/>
      </w:r>
      <w:r w:rsidRPr="00BC0C1F">
        <w:rPr>
          <w:rStyle w:val="Refdenotaalpie"/>
        </w:rPr>
        <w:t xml:space="preserve"> </w:t>
      </w:r>
      <w:r w:rsidRPr="00BC0C1F">
        <w:rPr>
          <w:rFonts w:ascii="Century Gothic" w:eastAsia="Century Gothic" w:hAnsi="Century Gothic" w:cs="Century Gothic"/>
          <w:sz w:val="20"/>
          <w:szCs w:val="20"/>
        </w:rPr>
        <w:t>Ley de Drogas 11.343 del 23 de agosto de 2006</w:t>
      </w:r>
    </w:p>
  </w:footnote>
  <w:footnote w:id="5">
    <w:p w:rsidR="00CF17FA" w:rsidRPr="00BC0C1F" w:rsidRDefault="00BC0C1F" w:rsidP="00CF17FA">
      <w:pPr>
        <w:jc w:val="both"/>
        <w:rPr>
          <w:rFonts w:ascii="Century Gothic" w:eastAsia="Century Gothic" w:hAnsi="Century Gothic" w:cs="Century Gothic"/>
          <w:sz w:val="20"/>
          <w:szCs w:val="20"/>
        </w:rPr>
      </w:pPr>
      <w:r w:rsidRPr="00BC0C1F">
        <w:rPr>
          <w:rStyle w:val="Refdenotaalpie"/>
        </w:rPr>
        <w:footnoteRef/>
      </w:r>
      <w:hyperlink r:id="rId1" w:history="1">
        <w:r w:rsidRPr="00BC0C1F">
          <w:rPr>
            <w:rFonts w:ascii="Century Gothic" w:eastAsia="Century Gothic" w:hAnsi="Century Gothic" w:cs="Century Gothic"/>
            <w:sz w:val="20"/>
            <w:szCs w:val="20"/>
          </w:rPr>
          <w:t>http://www.cicad.oas.org/oid/NEW/Statistics/siduc/InfoFinal_Estudio_Comparatio.pdf</w:t>
        </w:r>
      </w:hyperlink>
    </w:p>
  </w:footnote>
  <w:footnote w:id="6">
    <w:p w:rsidR="00BC0C1F" w:rsidRPr="00BC0C1F" w:rsidRDefault="00BC0C1F" w:rsidP="00CF17FA">
      <w:pPr>
        <w:jc w:val="both"/>
      </w:pPr>
      <w:r>
        <w:rPr>
          <w:rStyle w:val="Refdenotaalpie"/>
        </w:rPr>
        <w:footnoteRef/>
      </w:r>
      <w:r>
        <w:t xml:space="preserve"> </w:t>
      </w:r>
      <w:hyperlink r:id="rId2" w:history="1">
        <w:r w:rsidRPr="00BC0C1F">
          <w:rPr>
            <w:rFonts w:ascii="Century Gothic" w:eastAsia="Century Gothic" w:hAnsi="Century Gothic" w:cs="Century Gothic"/>
            <w:sz w:val="20"/>
            <w:szCs w:val="20"/>
          </w:rPr>
          <w:t>Ley Nº 20.000</w:t>
        </w:r>
      </w:hyperlink>
    </w:p>
  </w:footnote>
  <w:footnote w:id="7">
    <w:p w:rsidR="00BE3162" w:rsidRDefault="00C00C6D">
      <w:pPr>
        <w:jc w:val="both"/>
        <w:rPr>
          <w:rFonts w:ascii="Century Gothic" w:eastAsia="Century Gothic" w:hAnsi="Century Gothic" w:cs="Century Gothic"/>
          <w:sz w:val="20"/>
          <w:szCs w:val="20"/>
        </w:rPr>
      </w:pPr>
      <w:r>
        <w:rPr>
          <w:vertAlign w:val="superscript"/>
        </w:rPr>
        <w:footnoteRef/>
      </w:r>
      <w:r>
        <w:rPr>
          <w:sz w:val="20"/>
          <w:szCs w:val="20"/>
        </w:rPr>
        <w:t xml:space="preserve"> </w:t>
      </w:r>
      <w:r>
        <w:rPr>
          <w:rFonts w:ascii="Century Gothic" w:eastAsia="Century Gothic" w:hAnsi="Century Gothic" w:cs="Century Gothic"/>
          <w:sz w:val="20"/>
          <w:szCs w:val="20"/>
        </w:rPr>
        <w:t xml:space="preserve">Ministerio de Justicia y Derecho, Observatorio de Drogas de Colombia, Ministerio de Salud y Protección Social “Estudio Nacional de Consumo de Sustancias Psicoactivas en Población Escolar”. Disponible en </w:t>
      </w:r>
      <w:hyperlink r:id="rId3">
        <w:r>
          <w:rPr>
            <w:rFonts w:ascii="Century Gothic" w:eastAsia="Century Gothic" w:hAnsi="Century Gothic" w:cs="Century Gothic"/>
            <w:color w:val="954F72"/>
            <w:sz w:val="20"/>
            <w:szCs w:val="20"/>
            <w:u w:val="single"/>
          </w:rPr>
          <w:t>https://www.unodc.org/documents/colombia/2014/Julio/Estudio_de_Consumo_UNODC.pdf</w:t>
        </w:r>
      </w:hyperlink>
    </w:p>
  </w:footnote>
  <w:footnote w:id="8">
    <w:p w:rsidR="00BE3162" w:rsidRDefault="00C00C6D">
      <w:pPr>
        <w:jc w:val="both"/>
        <w:rPr>
          <w:rFonts w:ascii="Century Gothic" w:eastAsia="Century Gothic" w:hAnsi="Century Gothic" w:cs="Century Gothic"/>
          <w:sz w:val="20"/>
          <w:szCs w:val="20"/>
        </w:rPr>
      </w:pPr>
      <w:r>
        <w:rPr>
          <w:vertAlign w:val="superscript"/>
        </w:rPr>
        <w:footnoteRef/>
      </w:r>
      <w:r>
        <w:rPr>
          <w:sz w:val="20"/>
          <w:szCs w:val="20"/>
        </w:rPr>
        <w:t xml:space="preserve"> </w:t>
      </w:r>
      <w:r>
        <w:rPr>
          <w:rFonts w:ascii="Century Gothic" w:eastAsia="Century Gothic" w:hAnsi="Century Gothic" w:cs="Century Gothic"/>
          <w:sz w:val="20"/>
          <w:szCs w:val="20"/>
        </w:rPr>
        <w:t xml:space="preserve">Ministerio de Justicia y del Derecho, Ministerio de Educación, Ministerio de Salud y Protección Social. “Estudio Nacional de Consumo de Sustancias psicoactivas en Poblacion Escolar Colombia – 2011 Disponible en: </w:t>
      </w:r>
      <w:hyperlink r:id="rId4">
        <w:r>
          <w:rPr>
            <w:rFonts w:ascii="Century Gothic" w:eastAsia="Century Gothic" w:hAnsi="Century Gothic" w:cs="Century Gothic"/>
            <w:color w:val="954F72"/>
            <w:sz w:val="20"/>
            <w:szCs w:val="20"/>
            <w:u w:val="single"/>
          </w:rPr>
          <w:t>http://www.odc.gov.co/Portals/1/publicaciones/pdf/consumo/estudios/nacionales/CO03282011-estudio-nacional-consumo-sustancias-psicoactivas-poblacion-escolar-colombia-2011-.pdf</w:t>
        </w:r>
      </w:hyperlink>
    </w:p>
  </w:footnote>
  <w:footnote w:id="9">
    <w:p w:rsidR="00BE3162" w:rsidRDefault="00C00C6D">
      <w:pPr>
        <w:jc w:val="both"/>
        <w:rPr>
          <w:rFonts w:ascii="Century Gothic" w:eastAsia="Century Gothic" w:hAnsi="Century Gothic" w:cs="Century Gothic"/>
          <w:sz w:val="20"/>
          <w:szCs w:val="20"/>
        </w:rPr>
      </w:pPr>
      <w:r>
        <w:rPr>
          <w:vertAlign w:val="superscript"/>
        </w:rPr>
        <w:footnoteRef/>
      </w:r>
      <w:r>
        <w:rPr>
          <w:sz w:val="20"/>
          <w:szCs w:val="20"/>
        </w:rPr>
        <w:t xml:space="preserve"> </w:t>
      </w:r>
      <w:r>
        <w:rPr>
          <w:sz w:val="22"/>
          <w:szCs w:val="22"/>
        </w:rPr>
        <w:t>G</w:t>
      </w:r>
      <w:r>
        <w:rPr>
          <w:rFonts w:ascii="Century Gothic" w:eastAsia="Century Gothic" w:hAnsi="Century Gothic" w:cs="Century Gothic"/>
          <w:sz w:val="20"/>
          <w:szCs w:val="20"/>
        </w:rPr>
        <w:t xml:space="preserve">ómez Pérez, Augusto.Scoppetta, Orlando. “Consumo de alcohol en menores de 18 años en Colombia: 2008 un Estudio con Jóvenes Escolarizados de 12 a 17 años en 7 capitales de departamento y dos municipios pequeños.”. Corporación nuevos rumbos[consultado el 1 de octubre de 2019 – hora 12:27pm]. Disponible en en: </w:t>
      </w:r>
      <w:hyperlink r:id="rId5">
        <w:r>
          <w:rPr>
            <w:rFonts w:ascii="Century Gothic" w:eastAsia="Century Gothic" w:hAnsi="Century Gothic" w:cs="Century Gothic"/>
            <w:color w:val="954F72"/>
            <w:sz w:val="20"/>
            <w:szCs w:val="20"/>
            <w:u w:val="single"/>
          </w:rPr>
          <w:t>http://www.odc.gov.co/Portals/1/publicaciones/pdf/consumo/estudios/locales/CO031052008-consumo-alcohol-menores-de-18-anos-colombia-2008.pdf</w:t>
        </w:r>
      </w:hyperlink>
    </w:p>
  </w:footnote>
  <w:footnote w:id="10">
    <w:p w:rsidR="00BE3162" w:rsidRDefault="00C00C6D">
      <w:pPr>
        <w:jc w:val="both"/>
        <w:rPr>
          <w:sz w:val="22"/>
          <w:szCs w:val="22"/>
        </w:rPr>
      </w:pPr>
      <w:r>
        <w:rPr>
          <w:vertAlign w:val="superscript"/>
        </w:rPr>
        <w:footnoteRef/>
      </w:r>
      <w:r>
        <w:rPr>
          <w:rFonts w:ascii="Century Gothic" w:eastAsia="Century Gothic" w:hAnsi="Century Gothic" w:cs="Century Gothic"/>
          <w:sz w:val="20"/>
          <w:szCs w:val="20"/>
        </w:rPr>
        <w:t xml:space="preserve"> Rodríguez, José. “Alcohol Drogas y espacio público, un análisis al fallo que incomoda” Universidad del Norte. Disponible en: </w:t>
      </w:r>
      <w:hyperlink r:id="rId6">
        <w:r>
          <w:rPr>
            <w:rFonts w:ascii="Century Gothic" w:eastAsia="Century Gothic" w:hAnsi="Century Gothic" w:cs="Century Gothic"/>
            <w:sz w:val="20"/>
            <w:szCs w:val="20"/>
          </w:rPr>
          <w:t>https://www.uninorte.edu.co/rss-uninorteco/-/asset_publisher/10Qyg2d9nLC8/content/consumo-de-alcohol-y-droga-en-espacio-publico-debate/73923?inheritRedirect=false</w:t>
        </w:r>
      </w:hyperlink>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C85420"/>
    <w:multiLevelType w:val="hybridMultilevel"/>
    <w:tmpl w:val="FF84078A"/>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 w15:restartNumberingAfterBreak="0">
    <w:nsid w:val="55C949A6"/>
    <w:multiLevelType w:val="multilevel"/>
    <w:tmpl w:val="5ED23C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162"/>
    <w:rsid w:val="0022662B"/>
    <w:rsid w:val="00280373"/>
    <w:rsid w:val="00407762"/>
    <w:rsid w:val="005E3352"/>
    <w:rsid w:val="00631112"/>
    <w:rsid w:val="00672CB4"/>
    <w:rsid w:val="007861DF"/>
    <w:rsid w:val="008F79E4"/>
    <w:rsid w:val="00BC0C1F"/>
    <w:rsid w:val="00BE3162"/>
    <w:rsid w:val="00C00C6D"/>
    <w:rsid w:val="00CF17FA"/>
    <w:rsid w:val="00D865A1"/>
    <w:rsid w:val="00E10A6D"/>
    <w:rsid w:val="00EA098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527F55-CE3E-7840-887E-3B31AE068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s-CO"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4E80"/>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BF3E08"/>
    <w:pPr>
      <w:spacing w:before="100" w:beforeAutospacing="1" w:after="100" w:afterAutospacing="1"/>
    </w:pPr>
  </w:style>
  <w:style w:type="paragraph" w:styleId="Textodeglobo">
    <w:name w:val="Balloon Text"/>
    <w:basedOn w:val="Normal"/>
    <w:link w:val="TextodegloboCar"/>
    <w:uiPriority w:val="99"/>
    <w:semiHidden/>
    <w:unhideWhenUsed/>
    <w:rsid w:val="00003624"/>
    <w:rPr>
      <w:rFonts w:eastAsiaTheme="minorHAnsi"/>
      <w:noProof/>
      <w:sz w:val="18"/>
      <w:szCs w:val="18"/>
      <w:lang w:val="es-ES" w:eastAsia="en-US"/>
    </w:rPr>
  </w:style>
  <w:style w:type="character" w:customStyle="1" w:styleId="TextodegloboCar">
    <w:name w:val="Texto de globo Car"/>
    <w:basedOn w:val="Fuentedeprrafopredeter"/>
    <w:link w:val="Textodeglobo"/>
    <w:uiPriority w:val="99"/>
    <w:semiHidden/>
    <w:rsid w:val="00003624"/>
    <w:rPr>
      <w:rFonts w:ascii="Times New Roman" w:hAnsi="Times New Roman" w:cs="Times New Roman"/>
      <w:noProof/>
      <w:sz w:val="18"/>
      <w:szCs w:val="18"/>
      <w:lang w:val="es-ES"/>
    </w:rPr>
  </w:style>
  <w:style w:type="character" w:customStyle="1" w:styleId="apple-converted-space">
    <w:name w:val="apple-converted-space"/>
    <w:basedOn w:val="Fuentedeprrafopredeter"/>
    <w:rsid w:val="00025D12"/>
  </w:style>
  <w:style w:type="table" w:styleId="Tablaconcuadrcula">
    <w:name w:val="Table Grid"/>
    <w:basedOn w:val="Tablanormal"/>
    <w:uiPriority w:val="39"/>
    <w:rsid w:val="00EB4E80"/>
    <w:rPr>
      <w:rFonts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left w:w="108" w:type="dxa"/>
        <w:right w:w="108" w:type="dxa"/>
      </w:tblCellMar>
    </w:tblPr>
  </w:style>
  <w:style w:type="paragraph" w:styleId="Prrafodelista">
    <w:name w:val="List Paragraph"/>
    <w:basedOn w:val="Normal"/>
    <w:uiPriority w:val="34"/>
    <w:qFormat/>
    <w:rsid w:val="00407762"/>
    <w:pPr>
      <w:ind w:left="720"/>
      <w:contextualSpacing/>
    </w:pPr>
  </w:style>
  <w:style w:type="paragraph" w:styleId="Textonotapie">
    <w:name w:val="footnote text"/>
    <w:basedOn w:val="Normal"/>
    <w:link w:val="TextonotapieCar"/>
    <w:uiPriority w:val="99"/>
    <w:semiHidden/>
    <w:unhideWhenUsed/>
    <w:rsid w:val="00BC0C1F"/>
    <w:rPr>
      <w:sz w:val="20"/>
      <w:szCs w:val="20"/>
    </w:rPr>
  </w:style>
  <w:style w:type="character" w:customStyle="1" w:styleId="TextonotapieCar">
    <w:name w:val="Texto nota pie Car"/>
    <w:basedOn w:val="Fuentedeprrafopredeter"/>
    <w:link w:val="Textonotapie"/>
    <w:uiPriority w:val="99"/>
    <w:semiHidden/>
    <w:rsid w:val="00BC0C1F"/>
    <w:rPr>
      <w:sz w:val="20"/>
      <w:szCs w:val="20"/>
    </w:rPr>
  </w:style>
  <w:style w:type="character" w:styleId="Refdenotaalpie">
    <w:name w:val="footnote reference"/>
    <w:basedOn w:val="Fuentedeprrafopredeter"/>
    <w:uiPriority w:val="99"/>
    <w:semiHidden/>
    <w:unhideWhenUsed/>
    <w:rsid w:val="00BC0C1F"/>
    <w:rPr>
      <w:vertAlign w:val="superscript"/>
    </w:rPr>
  </w:style>
  <w:style w:type="character" w:styleId="Hipervnculo">
    <w:name w:val="Hyperlink"/>
    <w:basedOn w:val="Fuentedeprrafopredeter"/>
    <w:uiPriority w:val="99"/>
    <w:unhideWhenUsed/>
    <w:rsid w:val="00BC0C1F"/>
    <w:rPr>
      <w:color w:val="0000FF"/>
      <w:u w:val="single"/>
    </w:rPr>
  </w:style>
  <w:style w:type="character" w:customStyle="1" w:styleId="UnresolvedMention">
    <w:name w:val="Unresolved Mention"/>
    <w:basedOn w:val="Fuentedeprrafopredeter"/>
    <w:uiPriority w:val="99"/>
    <w:semiHidden/>
    <w:unhideWhenUsed/>
    <w:rsid w:val="00BC0C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15039">
      <w:bodyDiv w:val="1"/>
      <w:marLeft w:val="0"/>
      <w:marRight w:val="0"/>
      <w:marTop w:val="0"/>
      <w:marBottom w:val="0"/>
      <w:divBdr>
        <w:top w:val="none" w:sz="0" w:space="0" w:color="auto"/>
        <w:left w:val="none" w:sz="0" w:space="0" w:color="auto"/>
        <w:bottom w:val="none" w:sz="0" w:space="0" w:color="auto"/>
        <w:right w:val="none" w:sz="0" w:space="0" w:color="auto"/>
      </w:divBdr>
    </w:div>
    <w:div w:id="92018118">
      <w:bodyDiv w:val="1"/>
      <w:marLeft w:val="0"/>
      <w:marRight w:val="0"/>
      <w:marTop w:val="0"/>
      <w:marBottom w:val="0"/>
      <w:divBdr>
        <w:top w:val="none" w:sz="0" w:space="0" w:color="auto"/>
        <w:left w:val="none" w:sz="0" w:space="0" w:color="auto"/>
        <w:bottom w:val="none" w:sz="0" w:space="0" w:color="auto"/>
        <w:right w:val="none" w:sz="0" w:space="0" w:color="auto"/>
      </w:divBdr>
    </w:div>
    <w:div w:id="1220703126">
      <w:bodyDiv w:val="1"/>
      <w:marLeft w:val="0"/>
      <w:marRight w:val="0"/>
      <w:marTop w:val="0"/>
      <w:marBottom w:val="0"/>
      <w:divBdr>
        <w:top w:val="none" w:sz="0" w:space="0" w:color="auto"/>
        <w:left w:val="none" w:sz="0" w:space="0" w:color="auto"/>
        <w:bottom w:val="none" w:sz="0" w:space="0" w:color="auto"/>
        <w:right w:val="none" w:sz="0" w:space="0" w:color="auto"/>
      </w:divBdr>
    </w:div>
    <w:div w:id="1306205586">
      <w:bodyDiv w:val="1"/>
      <w:marLeft w:val="0"/>
      <w:marRight w:val="0"/>
      <w:marTop w:val="0"/>
      <w:marBottom w:val="0"/>
      <w:divBdr>
        <w:top w:val="none" w:sz="0" w:space="0" w:color="auto"/>
        <w:left w:val="none" w:sz="0" w:space="0" w:color="auto"/>
        <w:bottom w:val="none" w:sz="0" w:space="0" w:color="auto"/>
        <w:right w:val="none" w:sz="0" w:space="0" w:color="auto"/>
      </w:divBdr>
    </w:div>
    <w:div w:id="19356258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unodc.org/documents/colombia/2014/Julio/Estudio_de_Consumo_UNODC.pdf" TargetMode="External"/><Relationship Id="rId2" Type="http://schemas.openxmlformats.org/officeDocument/2006/relationships/hyperlink" Target="https://web.archive.org/web/20131214072812/http:/www.bibliodrogas.cl/bibliodrogas/index.php?option=com_content&amp;task=view&amp;id=49&amp;Itemid=42" TargetMode="External"/><Relationship Id="rId1" Type="http://schemas.openxmlformats.org/officeDocument/2006/relationships/hyperlink" Target="http://www.cicad.oas.org/oid/NEW/Statistics/siduc/InfoFinal_Estudio_Comparatio.pdf" TargetMode="External"/><Relationship Id="rId6" Type="http://schemas.openxmlformats.org/officeDocument/2006/relationships/hyperlink" Target="https://www.uninorte.edu.co/rss-uninorteco/-/asset_publisher/10Qyg2d9nLC8/content/consumo-de-alcohol-y-droga-en-espacio-publico-debate/73923?inheritRedirect=false" TargetMode="External"/><Relationship Id="rId5" Type="http://schemas.openxmlformats.org/officeDocument/2006/relationships/hyperlink" Target="http://www.odc.gov.co/Portals/1/publicaciones/pdf/consumo/estudios/locales/CO031052008-consumo-alcohol-menores-de-18-anos-colombia-2008.pdf" TargetMode="External"/><Relationship Id="rId4" Type="http://schemas.openxmlformats.org/officeDocument/2006/relationships/hyperlink" Target="http://www.odc.gov.co/Portals/1/publicaciones/pdf/consumo/estudios/nacionales/CO03282011-estudio-nacional-consumo-sustancias-psicoactivas-poblacion-escolar-colombia-2011-.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LSKfl+Nne8EJRuYQG+/ztI6l5w==">AMUW2mUZ6b0QotV5xTGJovo04GUGoVz4PUzbbOz70AD771gTY+1wDrZW3zuUrzb0cUEiAdgpSBBx4t2rCkXk9mg0s+NoHzKCNad/kGedDYBBn8L5qq7O+amQXKEndKn0H2d9NZ5ISvrh</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903A6E0-0199-495D-A5F8-8B1534EFD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6614</Words>
  <Characters>36379</Characters>
  <Application>Microsoft Office Word</Application>
  <DocSecurity>0</DocSecurity>
  <Lines>303</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Cesar Mateo Lancheros Cañon</dc:creator>
  <cp:lastModifiedBy>Cesar Mateo lancheros Cañon</cp:lastModifiedBy>
  <cp:revision>2</cp:revision>
  <cp:lastPrinted>2019-10-07T15:45:00Z</cp:lastPrinted>
  <dcterms:created xsi:type="dcterms:W3CDTF">2019-10-07T21:59:00Z</dcterms:created>
  <dcterms:modified xsi:type="dcterms:W3CDTF">2019-10-07T21:59:00Z</dcterms:modified>
</cp:coreProperties>
</file>